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68828D">
      <w:pPr>
        <w:autoSpaceDN w:val="0"/>
        <w:spacing w:before="100" w:after="100" w:line="560" w:lineRule="exact"/>
        <w:jc w:val="center"/>
        <w:rPr>
          <w:rFonts w:hint="eastAsia" w:ascii="方正楷体_GB2312" w:hAnsi="方正楷体_GB2312" w:eastAsia="方正楷体_GB2312" w:cs="方正楷体_GB2312"/>
          <w:color w:val="000000" w:themeColor="text1"/>
          <w:sz w:val="32"/>
          <w14:textFill>
            <w14:solidFill>
              <w14:schemeClr w14:val="tx1"/>
            </w14:solidFill>
          </w14:textFill>
        </w:rPr>
      </w:pPr>
    </w:p>
    <w:p w14:paraId="4E6527F3">
      <w:pPr>
        <w:autoSpaceDN w:val="0"/>
        <w:spacing w:before="100" w:after="100" w:line="560" w:lineRule="exact"/>
        <w:jc w:val="center"/>
        <w:rPr>
          <w:rFonts w:hint="eastAsia" w:ascii="仿宋_GB2312" w:hAnsi="仿宋_GB2312" w:eastAsia="仿宋_GB2312"/>
          <w:color w:val="000000" w:themeColor="text1"/>
          <w:sz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 xml:space="preserve">                                                                                             </w:t>
      </w:r>
    </w:p>
    <w:p w14:paraId="19BA6F1E">
      <w:pPr>
        <w:autoSpaceDN w:val="0"/>
        <w:spacing w:line="560" w:lineRule="exact"/>
        <w:jc w:val="center"/>
        <w:rPr>
          <w:rFonts w:hint="eastAsia" w:ascii="仿宋_GB2312" w:hAnsi="仿宋_GB2312" w:eastAsia="仿宋_GB2312"/>
          <w:color w:val="000000" w:themeColor="text1"/>
          <w14:textFill>
            <w14:solidFill>
              <w14:schemeClr w14:val="tx1"/>
            </w14:solidFill>
          </w14:textFill>
        </w:rPr>
      </w:pPr>
    </w:p>
    <w:p w14:paraId="2045A393">
      <w:pPr>
        <w:autoSpaceDN w:val="0"/>
        <w:spacing w:line="560" w:lineRule="exact"/>
        <w:jc w:val="center"/>
        <w:rPr>
          <w:rFonts w:hint="eastAsia" w:ascii="仿宋_GB2312" w:hAnsi="仿宋_GB2312" w:eastAsia="仿宋_GB2312"/>
          <w:color w:val="000000" w:themeColor="text1"/>
          <w14:textFill>
            <w14:solidFill>
              <w14:schemeClr w14:val="tx1"/>
            </w14:solidFill>
          </w14:textFill>
        </w:rPr>
      </w:pPr>
    </w:p>
    <w:p w14:paraId="2AA0F16E">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7B5AD72F">
      <w:pPr>
        <w:tabs>
          <w:tab w:val="left" w:pos="2818"/>
        </w:tabs>
        <w:autoSpaceDN w:val="0"/>
        <w:spacing w:line="560" w:lineRule="exact"/>
        <w:jc w:val="left"/>
        <w:rPr>
          <w:rFonts w:hint="eastAsia" w:ascii="仿宋_GB2312" w:hAnsi="仿宋_GB2312" w:eastAsia="仿宋_GB2312"/>
          <w:color w:val="000000" w:themeColor="text1"/>
          <w:sz w:val="24"/>
          <w14:textFill>
            <w14:solidFill>
              <w14:schemeClr w14:val="tx1"/>
            </w14:solidFill>
          </w14:textFill>
        </w:rPr>
      </w:pPr>
    </w:p>
    <w:p w14:paraId="66FE1830">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3CF2DBDA">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4BE9220C">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49CBF6C2">
      <w:pPr>
        <w:spacing w:line="360" w:lineRule="auto"/>
        <w:jc w:val="center"/>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阿环审表〔2025〕</w:t>
      </w:r>
      <w:r>
        <w:rPr>
          <w:rFonts w:hint="eastAsia" w:ascii="仿宋_GB2312" w:hAnsi="宋体" w:eastAsia="仿宋_GB2312"/>
          <w:color w:val="000000" w:themeColor="text1"/>
          <w:sz w:val="32"/>
          <w:szCs w:val="32"/>
          <w:lang w:val="en-US" w:eastAsia="zh-CN"/>
          <w14:textFill>
            <w14:solidFill>
              <w14:schemeClr w14:val="tx1"/>
            </w14:solidFill>
          </w14:textFill>
        </w:rPr>
        <w:t>6</w:t>
      </w:r>
      <w:r>
        <w:rPr>
          <w:rFonts w:hint="eastAsia" w:ascii="仿宋_GB2312" w:hAnsi="宋体" w:eastAsia="仿宋_GB2312"/>
          <w:color w:val="000000" w:themeColor="text1"/>
          <w:sz w:val="32"/>
          <w:szCs w:val="32"/>
          <w14:textFill>
            <w14:solidFill>
              <w14:schemeClr w14:val="tx1"/>
            </w14:solidFill>
          </w14:textFill>
        </w:rPr>
        <w:t>号</w:t>
      </w:r>
    </w:p>
    <w:p w14:paraId="30C6467F">
      <w:pPr>
        <w:rPr>
          <w:rFonts w:hint="eastAsia" w:ascii="仿宋_GB2312" w:hAnsi="宋体" w:eastAsia="仿宋_GB2312"/>
          <w:b/>
          <w:color w:val="000000" w:themeColor="text1"/>
          <w:sz w:val="28"/>
          <w:szCs w:val="28"/>
          <w14:textFill>
            <w14:solidFill>
              <w14:schemeClr w14:val="tx1"/>
            </w14:solidFill>
          </w14:textFill>
        </w:rPr>
      </w:pPr>
    </w:p>
    <w:p w14:paraId="418B3DB2">
      <w:pPr>
        <w:spacing w:line="600" w:lineRule="exact"/>
        <w:jc w:val="center"/>
        <w:rPr>
          <w:rFonts w:hint="eastAsia" w:ascii="方正小标宋简体" w:eastAsia="方正小标宋简体" w:hAnsiTheme="majorEastAsia" w:cstheme="majorEastAsia"/>
          <w:bCs/>
          <w:color w:val="000000" w:themeColor="text1"/>
          <w:sz w:val="44"/>
          <w:szCs w:val="44"/>
          <w14:textFill>
            <w14:solidFill>
              <w14:schemeClr w14:val="tx1"/>
            </w14:solidFill>
          </w14:textFill>
        </w:rPr>
      </w:pPr>
      <w:r>
        <w:rPr>
          <w:rFonts w:hint="eastAsia" w:ascii="方正小标宋简体" w:eastAsia="方正小标宋简体" w:hAnsiTheme="majorEastAsia" w:cstheme="majorEastAsia"/>
          <w:bCs/>
          <w:color w:val="000000" w:themeColor="text1"/>
          <w:sz w:val="44"/>
          <w:szCs w:val="44"/>
          <w14:textFill>
            <w14:solidFill>
              <w14:schemeClr w14:val="tx1"/>
            </w14:solidFill>
          </w14:textFill>
        </w:rPr>
        <w:t>锡林郭勒盟生态环境局</w:t>
      </w:r>
    </w:p>
    <w:p w14:paraId="185B1042">
      <w:pPr>
        <w:spacing w:line="600" w:lineRule="exact"/>
        <w:jc w:val="center"/>
        <w:rPr>
          <w:rFonts w:hint="eastAsia" w:ascii="方正小标宋简体" w:eastAsia="方正小标宋简体" w:hAnsiTheme="majorEastAsia" w:cstheme="majorEastAsia"/>
          <w:bCs/>
          <w:color w:val="000000" w:themeColor="text1"/>
          <w:sz w:val="44"/>
          <w:szCs w:val="44"/>
          <w:lang w:eastAsia="zh-CN"/>
          <w14:textFill>
            <w14:solidFill>
              <w14:schemeClr w14:val="tx1"/>
            </w14:solidFill>
          </w14:textFill>
        </w:rPr>
      </w:pPr>
      <w:bookmarkStart w:id="0" w:name="OLE_LINK1"/>
      <w:r>
        <w:rPr>
          <w:rFonts w:hint="eastAsia" w:ascii="方正小标宋简体" w:eastAsia="方正小标宋简体" w:hAnsiTheme="majorEastAsia" w:cstheme="majorEastAsia"/>
          <w:bCs/>
          <w:color w:val="000000" w:themeColor="text1"/>
          <w:sz w:val="44"/>
          <w:szCs w:val="44"/>
          <w14:textFill>
            <w14:solidFill>
              <w14:schemeClr w14:val="tx1"/>
            </w14:solidFill>
          </w14:textFill>
        </w:rPr>
        <w:t>关于</w:t>
      </w:r>
      <w:r>
        <w:rPr>
          <w:rFonts w:hint="eastAsia" w:ascii="方正小标宋简体" w:eastAsia="方正小标宋简体" w:hAnsiTheme="majorEastAsia" w:cstheme="majorEastAsia"/>
          <w:bCs/>
          <w:color w:val="000000" w:themeColor="text1"/>
          <w:sz w:val="44"/>
          <w:szCs w:val="44"/>
          <w:lang w:eastAsia="zh-CN"/>
          <w14:textFill>
            <w14:solidFill>
              <w14:schemeClr w14:val="tx1"/>
            </w14:solidFill>
          </w14:textFill>
        </w:rPr>
        <w:t>冀东水泥阿巴嘎旗有限责任公司AL型新型低碳全尾矿填充复合凝胶材料项目</w:t>
      </w:r>
    </w:p>
    <w:p w14:paraId="15CA9B0D">
      <w:pPr>
        <w:spacing w:line="600" w:lineRule="exact"/>
        <w:jc w:val="center"/>
        <w:rPr>
          <w:rFonts w:hint="eastAsia" w:asciiTheme="majorEastAsia" w:hAnsiTheme="majorEastAsia" w:eastAsiaTheme="majorEastAsia" w:cstheme="majorEastAsia"/>
          <w:b/>
          <w:color w:val="000000" w:themeColor="text1"/>
          <w:sz w:val="44"/>
          <w:szCs w:val="44"/>
          <w14:textFill>
            <w14:solidFill>
              <w14:schemeClr w14:val="tx1"/>
            </w14:solidFill>
          </w14:textFill>
        </w:rPr>
      </w:pPr>
      <w:r>
        <w:rPr>
          <w:rFonts w:hint="eastAsia" w:ascii="方正小标宋简体" w:eastAsia="方正小标宋简体" w:hAnsiTheme="majorEastAsia" w:cstheme="majorEastAsia"/>
          <w:bCs/>
          <w:color w:val="000000" w:themeColor="text1"/>
          <w:sz w:val="44"/>
          <w:szCs w:val="44"/>
          <w14:textFill>
            <w14:solidFill>
              <w14:schemeClr w14:val="tx1"/>
            </w14:solidFill>
          </w14:textFill>
        </w:rPr>
        <w:t>环境影响报告表的批复</w:t>
      </w:r>
      <w:bookmarkEnd w:id="0"/>
    </w:p>
    <w:p w14:paraId="18AAFCD8">
      <w:pPr>
        <w:jc w:val="center"/>
        <w:rPr>
          <w:rFonts w:hint="eastAsia" w:ascii="仿宋_GB2312" w:hAnsi="宋体" w:eastAsia="仿宋_GB2312"/>
          <w:b/>
          <w:color w:val="000000" w:themeColor="text1"/>
          <w:sz w:val="28"/>
          <w:szCs w:val="28"/>
          <w14:textFill>
            <w14:solidFill>
              <w14:schemeClr w14:val="tx1"/>
            </w14:solidFill>
          </w14:textFill>
        </w:rPr>
      </w:pPr>
    </w:p>
    <w:p w14:paraId="72B2AA01">
      <w:pPr>
        <w:spacing w:line="560" w:lineRule="exact"/>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eastAsia="zh-CN"/>
          <w14:textFill>
            <w14:solidFill>
              <w14:schemeClr w14:val="tx1"/>
            </w14:solidFill>
          </w14:textFill>
        </w:rPr>
        <w:t>冀东水泥阿巴嘎旗有限责任公司</w:t>
      </w:r>
      <w:r>
        <w:rPr>
          <w:rFonts w:hint="eastAsia" w:ascii="仿宋_GB2312" w:hAnsi="宋体" w:eastAsia="仿宋_GB2312"/>
          <w:color w:val="000000" w:themeColor="text1"/>
          <w:sz w:val="32"/>
          <w:szCs w:val="32"/>
          <w14:textFill>
            <w14:solidFill>
              <w14:schemeClr w14:val="tx1"/>
            </w14:solidFill>
          </w14:textFill>
        </w:rPr>
        <w:t>：</w:t>
      </w:r>
    </w:p>
    <w:p w14:paraId="4B30E9C4">
      <w:pPr>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你单位报送的由</w:t>
      </w:r>
      <w:r>
        <w:rPr>
          <w:rFonts w:hint="eastAsia" w:ascii="仿宋_GB2312" w:hAnsi="宋体" w:eastAsia="仿宋_GB2312"/>
          <w:color w:val="000000" w:themeColor="text1"/>
          <w:sz w:val="32"/>
          <w:szCs w:val="32"/>
          <w:lang w:eastAsia="zh-CN"/>
          <w14:textFill>
            <w14:solidFill>
              <w14:schemeClr w14:val="tx1"/>
            </w14:solidFill>
          </w14:textFill>
        </w:rPr>
        <w:t>锡林郭勒环保投资有限公司</w:t>
      </w:r>
      <w:r>
        <w:rPr>
          <w:rFonts w:hint="eastAsia" w:ascii="仿宋_GB2312" w:hAnsi="宋体" w:eastAsia="仿宋_GB2312"/>
          <w:color w:val="000000" w:themeColor="text1"/>
          <w:sz w:val="32"/>
          <w:szCs w:val="32"/>
          <w14:textFill>
            <w14:solidFill>
              <w14:schemeClr w14:val="tx1"/>
            </w14:solidFill>
          </w14:textFill>
        </w:rPr>
        <w:t>，</w:t>
      </w:r>
      <w:r>
        <w:rPr>
          <w:rFonts w:hint="eastAsia" w:ascii="仿宋_GB2312" w:hAnsi="宋体" w:eastAsia="仿宋_GB2312"/>
          <w:color w:val="000000" w:themeColor="text1"/>
          <w:sz w:val="32"/>
          <w:szCs w:val="32"/>
          <w:lang w:val="en-US" w:eastAsia="zh-CN"/>
          <w14:textFill>
            <w14:solidFill>
              <w14:schemeClr w14:val="tx1"/>
            </w14:solidFill>
          </w14:textFill>
        </w:rPr>
        <w:t>张伟</w:t>
      </w:r>
      <w:r>
        <w:rPr>
          <w:rFonts w:hint="eastAsia" w:ascii="仿宋_GB2312" w:hAnsi="宋体" w:eastAsia="仿宋_GB2312"/>
          <w:color w:val="000000" w:themeColor="text1"/>
          <w:sz w:val="32"/>
          <w:szCs w:val="32"/>
          <w14:textFill>
            <w14:solidFill>
              <w14:schemeClr w14:val="tx1"/>
            </w14:solidFill>
          </w14:textFill>
        </w:rPr>
        <w:t>主持编制的《</w:t>
      </w:r>
      <w:r>
        <w:rPr>
          <w:rFonts w:hint="eastAsia" w:ascii="仿宋_GB2312" w:hAnsi="宋体" w:eastAsia="仿宋_GB2312"/>
          <w:color w:val="000000" w:themeColor="text1"/>
          <w:sz w:val="32"/>
          <w:szCs w:val="32"/>
          <w:lang w:eastAsia="zh-CN"/>
          <w14:textFill>
            <w14:solidFill>
              <w14:schemeClr w14:val="tx1"/>
            </w14:solidFill>
          </w14:textFill>
        </w:rPr>
        <w:t>冀东水泥阿巴嘎旗有限责任公司AL型新型低碳全尾矿填充复合凝胶材料项目</w:t>
      </w:r>
      <w:r>
        <w:rPr>
          <w:rFonts w:hint="eastAsia" w:ascii="仿宋_GB2312" w:hAnsi="宋体" w:eastAsia="仿宋_GB2312"/>
          <w:color w:val="000000" w:themeColor="text1"/>
          <w:sz w:val="32"/>
          <w:szCs w:val="32"/>
          <w14:textFill>
            <w14:solidFill>
              <w14:schemeClr w14:val="tx1"/>
            </w14:solidFill>
          </w14:textFill>
        </w:rPr>
        <w:t>环境影响报告表》（以下简称《报告表》）收悉，现批复如下：</w:t>
      </w:r>
    </w:p>
    <w:p w14:paraId="2E84D25B">
      <w:pPr>
        <w:numPr>
          <w:ilvl w:val="0"/>
          <w:numId w:val="1"/>
        </w:numPr>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建设项目基本情况</w:t>
      </w:r>
    </w:p>
    <w:p w14:paraId="769312FB">
      <w:pPr>
        <w:overflowPunct w:val="0"/>
        <w:autoSpaceDE w:val="0"/>
        <w:autoSpaceDN w:val="0"/>
        <w:adjustRightInd w:val="0"/>
        <w:snapToGrid w:val="0"/>
        <w:spacing w:line="560" w:lineRule="exact"/>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冀东水泥阿巴嘎旗有限责任公司拟投资368万元在</w:t>
      </w:r>
      <w:r>
        <w:rPr>
          <w:rFonts w:hint="eastAsia" w:ascii="仿宋_GB2312" w:eastAsia="仿宋_GB2312"/>
          <w:color w:val="000000" w:themeColor="text1"/>
          <w:sz w:val="32"/>
          <w:szCs w:val="32"/>
          <w:lang w:val="en-US" w:eastAsia="zh-CN"/>
          <w14:textFill>
            <w14:solidFill>
              <w14:schemeClr w14:val="tx1"/>
            </w14:solidFill>
          </w14:textFill>
        </w:rPr>
        <w:t>厂区</w:t>
      </w:r>
      <w:r>
        <w:rPr>
          <w:rFonts w:hint="eastAsia" w:ascii="仿宋_GB2312" w:eastAsia="仿宋_GB2312"/>
          <w:color w:val="000000" w:themeColor="text1"/>
          <w:sz w:val="32"/>
          <w:szCs w:val="32"/>
          <w:lang w:eastAsia="zh-CN"/>
          <w14:textFill>
            <w14:solidFill>
              <w14:schemeClr w14:val="tx1"/>
            </w14:solidFill>
          </w14:textFill>
        </w:rPr>
        <w:t>内建设冀东水泥阿巴嘎旗有限责任公司AL型新型低碳全尾矿填充复合凝胶材料项目，厂址中心坐标：E115°51′13.404″，N43°37′34.402″。主要建设内容为：建设2条粉磨生产线及依托现有1条褐煤烘干生产线作为矿渣烘干使用，设计规模为年产成品水泥120万吨，年产AL型复合凝胶材料100万吨。无新增占地。项目总投资368万元，其中环保投资为50万元，环保投资占总投资的比例为13.5%。</w:t>
      </w:r>
    </w:p>
    <w:p w14:paraId="420D3802">
      <w:pPr>
        <w:overflowPunct w:val="0"/>
        <w:autoSpaceDE w:val="0"/>
        <w:autoSpaceDN w:val="0"/>
        <w:adjustRightInd w:val="0"/>
        <w:snapToGrid w:val="0"/>
        <w:spacing w:line="560" w:lineRule="exact"/>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根据中华人民共和国国家发展和改革委员会令第7号《产业结构调整指导目录》（2024年本），</w:t>
      </w:r>
      <w:r>
        <w:rPr>
          <w:rFonts w:hint="eastAsia" w:ascii="仿宋_GB2312" w:eastAsia="仿宋_GB2312"/>
          <w:color w:val="000000" w:themeColor="text1"/>
          <w:sz w:val="32"/>
          <w:szCs w:val="32"/>
          <w:lang w:val="en-US" w:eastAsia="zh-CN"/>
          <w14:textFill>
            <w14:solidFill>
              <w14:schemeClr w14:val="tx1"/>
            </w14:solidFill>
          </w14:textFill>
        </w:rPr>
        <w:t>该</w:t>
      </w:r>
      <w:r>
        <w:rPr>
          <w:rFonts w:hint="eastAsia" w:ascii="仿宋_GB2312" w:eastAsia="仿宋_GB2312"/>
          <w:color w:val="000000" w:themeColor="text1"/>
          <w:sz w:val="32"/>
          <w:szCs w:val="32"/>
          <w:lang w:eastAsia="zh-CN"/>
          <w14:textFill>
            <w14:solidFill>
              <w14:schemeClr w14:val="tx1"/>
            </w14:solidFill>
          </w14:textFill>
        </w:rPr>
        <w:t>项目不属于其中“鼓励类、限制类及淘汰类”所列项目，根据《国务院关于发布实施〈促进产业结构调整暂行规定〉的决定》（国发〔2005〕40号）第十三条的规定：“不属于鼓励类、限制类和淘汰类，为允许类”，因此，项目的建设符合国家产业政策要求，且符合我盟“三线一单”管控要求及国家相关法律法规政策。</w:t>
      </w:r>
    </w:p>
    <w:p w14:paraId="10CE4A30">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在全面落实《报告表》提出的各项污染防治措施后，可使环境污染和生态破坏控制在允许范围内，从生态环境保护角度分析，该项目建设可行。</w:t>
      </w:r>
    </w:p>
    <w:p w14:paraId="5500C51D">
      <w:pPr>
        <w:overflowPunct w:val="0"/>
        <w:autoSpaceDE w:val="0"/>
        <w:autoSpaceDN w:val="0"/>
        <w:adjustRightInd w:val="0"/>
        <w:snapToGrid w:val="0"/>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二、项目在设计、建设和运营过程中应做好以下工作：</w:t>
      </w:r>
    </w:p>
    <w:p w14:paraId="1996D3C9">
      <w:pPr>
        <w:overflowPunct w:val="0"/>
        <w:autoSpaceDE w:val="0"/>
        <w:autoSpaceDN w:val="0"/>
        <w:adjustRightInd w:val="0"/>
        <w:snapToGrid w:val="0"/>
        <w:spacing w:line="560" w:lineRule="exact"/>
        <w:ind w:firstLine="640" w:firstLineChars="200"/>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（一）大气污染防治</w:t>
      </w:r>
    </w:p>
    <w:p w14:paraId="364E694E">
      <w:pPr>
        <w:pStyle w:val="7"/>
        <w:rPr>
          <w:rFonts w:hint="eastAsia" w:eastAsia="仿宋_GB2312"/>
          <w:color w:val="000000" w:themeColor="text1"/>
          <w:lang w:eastAsia="zh-CN"/>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1.施工期大气污染防治措施。</w:t>
      </w:r>
      <w:r>
        <w:rPr>
          <w:rFonts w:hint="eastAsia" w:ascii="Times New Roman" w:hAnsi="Times New Roman" w:eastAsia="仿宋_GB2312"/>
          <w:sz w:val="32"/>
          <w:szCs w:val="32"/>
        </w:rPr>
        <w:t>设置固定垃圾存放点，垃圾应分类集中堆放并覆盖；建筑垃圾采用封闭方式及时清运，严禁凌空抛掷；设置相应的车辆冲洗设施和排水、泥浆沉淀设施，车辆应冲洗干净后出场，严禁车辆带泥出场；施工场地每天应定时洒水降尘、对场地内运输通道及时清扫、道路定期洒水和清扫、运输车辆进入施工场地应低速行驶；施工现场要设围挡，加强施工管理，安排专职人员负责施工现场卫生管理工作</w:t>
      </w:r>
      <w:r>
        <w:rPr>
          <w:rFonts w:hint="eastAsia" w:ascii="Times New Roman" w:hAnsi="Times New Roman" w:eastAsia="仿宋_GB2312"/>
          <w:sz w:val="32"/>
          <w:szCs w:val="32"/>
          <w:lang w:eastAsia="zh-CN"/>
        </w:rPr>
        <w:t>。</w:t>
      </w:r>
    </w:p>
    <w:p w14:paraId="1C917618">
      <w:pPr>
        <w:pStyle w:val="11"/>
        <w:spacing w:line="560" w:lineRule="exact"/>
        <w:ind w:left="0" w:leftChars="0" w:firstLine="640"/>
        <w:rPr>
          <w:rFonts w:hint="default" w:ascii="仿宋_GB2312" w:eastAsia="仿宋_GB2312"/>
          <w:color w:val="000000" w:themeColor="text1"/>
          <w:sz w:val="32"/>
          <w:szCs w:val="32"/>
          <w14:textFill>
            <w14:solidFill>
              <w14:schemeClr w14:val="tx1"/>
            </w14:solidFill>
          </w14:textFill>
        </w:rPr>
      </w:pPr>
      <w:r>
        <w:rPr>
          <w:rFonts w:ascii="仿宋_GB2312" w:hAnsi="宋体" w:eastAsia="仿宋_GB2312"/>
          <w:b/>
          <w:bCs/>
          <w:color w:val="000000" w:themeColor="text1"/>
          <w:sz w:val="32"/>
          <w:szCs w:val="32"/>
          <w14:textFill>
            <w14:solidFill>
              <w14:schemeClr w14:val="tx1"/>
            </w14:solidFill>
          </w14:textFill>
        </w:rPr>
        <w:t>2.项目运营期大气污染防治措施。</w:t>
      </w:r>
      <w:r>
        <w:rPr>
          <w:rFonts w:hint="eastAsia" w:ascii="仿宋_GB2312" w:eastAsia="仿宋_GB2312"/>
          <w:color w:val="000000" w:themeColor="text1"/>
          <w:sz w:val="32"/>
          <w:szCs w:val="32"/>
          <w14:textFill>
            <w14:solidFill>
              <w14:schemeClr w14:val="tx1"/>
            </w14:solidFill>
          </w14:textFill>
        </w:rPr>
        <w:t>配料库粉尘：项目建设4座配料库，分别为冬储熟料库1座、烘干矿渣库1座、石灰石库1座、粉煤灰库1座；烘干矿渣库顶配备1台脉冲布袋除尘器，除尘效率99.7%，粉尘经布袋除尘器处理后，由1根15m高排气筒（DA012）高空排放。冬储熟料库和石灰石库顶共用1台脉冲布袋除尘器，除尘效率99.7%，粉尘经布袋除尘器处理后，由1根15m高排气筒（DA046）高空排放。粉煤灰顶配备1台脉冲布袋除尘器，除尘效率99.7%，粉尘经布袋除尘器处理后，由1根15m高排气筒（DA045）高空排放。成品库粉尘：项目建设2套粉磨系统，每套粉磨系统中V型选粉机、球磨机和组合式选粉机分别配备1台脉冲布袋除尘器，除尘效率99.7%，粉尘经布袋除尘器处理后，由1根15m高排气筒（DA031-DA036）高空排放。2套粉磨系统总共配备6台布袋除尘器。成品散装仓粉尘：项目建设6座成品库，每2座成品库顶配备1台脉冲布袋除尘器，除尘效率99.7%，粉尘经布袋除尘器处理后，由1根15m高排气筒（DA021、DA043、DA044）高空排放。粉磨粉尘：项目建设2套粉磨系统，每套粉磨系统中V型选粉机、球磨机和组合式选粉机分别配备1台脉冲布袋除尘器，除尘效率99.7%，粉尘经布袋除尘器处理后，由1根15m高排气筒（DA031-DA036）高空排放。2套粉磨系统总共配备6台布袋除尘器。包装粉尘：项目包装站设置3套包装系统，每套包装系统配备1台脉冲布袋除尘器，除尘效率99.7%，粉尘经布袋除尘器处理后，由1根15m高排气筒（DA037、DA017、DA018）高空排放。物料转运粉尘：熟料转运皮带配备4台脉冲布袋除尘器，除尘效率99.7%，粉尘经布袋除尘器处理后，由1根15m高排气筒（DA026-DA029）高空排放。熟料外排装车配备2台脉冲布袋除尘器除尘效率99.7%，粉尘经布袋除尘器处理后，由1根15m高排气筒（DA050、DA051）高空排放。配料转运皮带配备1台脉冲布袋除尘器除尘效率99.7%，粉尘经布袋除尘器处理后，由1根15m高排气筒（DA049）高空排放。成品水泥斗提配备3台脉冲布袋除尘器，除尘效率99.7%，粉尘经布袋除尘器处理后，由1根15m高排气筒（DA036、DA038、DA039）高空排放。烘干出料皮带配备1台脉冲布袋除尘器，除尘效率99.7%，粉尘经布袋除尘器处理后，由1根15m高排气筒（DA069）高空排放。沸腾炉烟气：沸腾炉烟气经低氮燃烧+旋风收尘+布袋除尘器（综合处理效率99.8%）+由1根15m高排气筒（DA067）高空排放。</w:t>
      </w:r>
    </w:p>
    <w:p w14:paraId="136C43F9">
      <w:pPr>
        <w:overflowPunct w:val="0"/>
        <w:autoSpaceDE w:val="0"/>
        <w:autoSpaceDN w:val="0"/>
        <w:adjustRightInd w:val="0"/>
        <w:snapToGrid w:val="0"/>
        <w:spacing w:line="560" w:lineRule="exact"/>
        <w:ind w:firstLine="640" w:firstLineChars="200"/>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（二）水污染防治</w:t>
      </w:r>
    </w:p>
    <w:p w14:paraId="3CE0F265">
      <w:pPr>
        <w:overflowPunct w:val="0"/>
        <w:autoSpaceDE w:val="0"/>
        <w:autoSpaceDN w:val="0"/>
        <w:adjustRightInd w:val="0"/>
        <w:snapToGrid w:val="0"/>
        <w:spacing w:line="560" w:lineRule="exact"/>
        <w:ind w:firstLine="643" w:firstLineChars="200"/>
        <w:rPr>
          <w:rFonts w:hint="eastAsia" w:ascii="仿宋_GB2312" w:hAnsi="Times New Roman" w:eastAsia="仿宋_GB2312"/>
          <w:color w:val="000000" w:themeColor="text1"/>
          <w:sz w:val="32"/>
          <w:szCs w:val="32"/>
          <w:lang w:eastAsia="zh-CN" w:bidi="ar"/>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1.施工期废水污染防治措施。</w:t>
      </w:r>
      <w:r>
        <w:rPr>
          <w:rFonts w:hint="eastAsia" w:ascii="仿宋_GB2312" w:hAnsi="Times New Roman" w:eastAsia="仿宋_GB2312"/>
          <w:color w:val="000000" w:themeColor="text1"/>
          <w:sz w:val="32"/>
          <w:szCs w:val="32"/>
          <w:lang w:bidi="ar"/>
          <w14:textFill>
            <w14:solidFill>
              <w14:schemeClr w14:val="tx1"/>
            </w14:solidFill>
          </w14:textFill>
        </w:rPr>
        <w:t>项目生活污水依托厂区内现有措施。施工废水、施工雨水直接渗到土里或蒸发</w:t>
      </w:r>
      <w:r>
        <w:rPr>
          <w:rFonts w:hint="eastAsia" w:ascii="仿宋_GB2312" w:hAnsi="Times New Roman" w:eastAsia="仿宋_GB2312"/>
          <w:color w:val="000000" w:themeColor="text1"/>
          <w:sz w:val="32"/>
          <w:szCs w:val="32"/>
          <w:lang w:eastAsia="zh-CN" w:bidi="ar"/>
          <w14:textFill>
            <w14:solidFill>
              <w14:schemeClr w14:val="tx1"/>
            </w14:solidFill>
          </w14:textFill>
        </w:rPr>
        <w:t>。</w:t>
      </w:r>
    </w:p>
    <w:p w14:paraId="70E1A51B">
      <w:pPr>
        <w:overflowPunct w:val="0"/>
        <w:autoSpaceDE w:val="0"/>
        <w:autoSpaceDN w:val="0"/>
        <w:adjustRightInd w:val="0"/>
        <w:snapToGrid w:val="0"/>
        <w:spacing w:line="560" w:lineRule="exact"/>
        <w:ind w:firstLine="643"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2.运营期废水污染防治措施。</w:t>
      </w:r>
      <w:r>
        <w:rPr>
          <w:rFonts w:hint="eastAsia" w:ascii="仿宋_GB2312" w:hAnsi="宋体" w:eastAsia="仿宋_GB2312"/>
          <w:color w:val="000000" w:themeColor="text1"/>
          <w:sz w:val="32"/>
          <w:szCs w:val="32"/>
          <w14:textFill>
            <w14:solidFill>
              <w14:schemeClr w14:val="tx1"/>
            </w14:solidFill>
          </w14:textFill>
        </w:rPr>
        <w:t>生产废水</w:t>
      </w:r>
      <w:r>
        <w:rPr>
          <w:rFonts w:hint="eastAsia" w:ascii="仿宋_GB2312" w:hAnsi="宋体" w:eastAsia="仿宋_GB2312"/>
          <w:color w:val="000000" w:themeColor="text1"/>
          <w:sz w:val="32"/>
          <w:szCs w:val="32"/>
          <w:lang w:val="en-US" w:eastAsia="zh-CN"/>
          <w14:textFill>
            <w14:solidFill>
              <w14:schemeClr w14:val="tx1"/>
            </w14:solidFill>
          </w14:textFill>
        </w:rPr>
        <w:t>和生活污水</w:t>
      </w:r>
      <w:r>
        <w:rPr>
          <w:rFonts w:hint="eastAsia" w:ascii="仿宋_GB2312" w:hAnsi="宋体" w:eastAsia="仿宋_GB2312"/>
          <w:color w:val="000000" w:themeColor="text1"/>
          <w:sz w:val="32"/>
          <w:szCs w:val="32"/>
          <w14:textFill>
            <w14:solidFill>
              <w14:schemeClr w14:val="tx1"/>
            </w14:solidFill>
          </w14:textFill>
        </w:rPr>
        <w:t>排入</w:t>
      </w:r>
      <w:r>
        <w:rPr>
          <w:rFonts w:hint="eastAsia" w:ascii="仿宋_GB2312" w:hAnsi="宋体" w:eastAsia="仿宋_GB2312"/>
          <w:color w:val="000000" w:themeColor="text1"/>
          <w:sz w:val="32"/>
          <w:szCs w:val="32"/>
          <w:lang w:val="en-US" w:eastAsia="zh-CN"/>
          <w14:textFill>
            <w14:solidFill>
              <w14:schemeClr w14:val="tx1"/>
            </w14:solidFill>
          </w14:textFill>
        </w:rPr>
        <w:t>厂区内</w:t>
      </w:r>
      <w:r>
        <w:rPr>
          <w:rFonts w:hint="eastAsia" w:ascii="仿宋_GB2312" w:hAnsi="宋体" w:eastAsia="仿宋_GB2312"/>
          <w:color w:val="000000" w:themeColor="text1"/>
          <w:sz w:val="32"/>
          <w:szCs w:val="32"/>
          <w14:textFill>
            <w14:solidFill>
              <w14:schemeClr w14:val="tx1"/>
            </w14:solidFill>
          </w14:textFill>
        </w:rPr>
        <w:t>污水处理站，经污水处理</w:t>
      </w:r>
      <w:r>
        <w:rPr>
          <w:rFonts w:hint="eastAsia" w:ascii="仿宋_GB2312" w:hAnsi="宋体" w:eastAsia="仿宋_GB2312"/>
          <w:color w:val="000000" w:themeColor="text1"/>
          <w:sz w:val="32"/>
          <w:szCs w:val="32"/>
          <w:lang w:val="en-US" w:eastAsia="zh-CN"/>
          <w14:textFill>
            <w14:solidFill>
              <w14:schemeClr w14:val="tx1"/>
            </w14:solidFill>
          </w14:textFill>
        </w:rPr>
        <w:t>站</w:t>
      </w:r>
      <w:r>
        <w:rPr>
          <w:rFonts w:hint="eastAsia" w:ascii="仿宋_GB2312" w:hAnsi="宋体" w:eastAsia="仿宋_GB2312"/>
          <w:color w:val="000000" w:themeColor="text1"/>
          <w:sz w:val="32"/>
          <w:szCs w:val="32"/>
          <w14:textFill>
            <w14:solidFill>
              <w14:schemeClr w14:val="tx1"/>
            </w14:solidFill>
          </w14:textFill>
        </w:rPr>
        <w:t>处理后的水全部暂存于清水池，最终用于道路降尘和绿化</w:t>
      </w:r>
      <w:r>
        <w:rPr>
          <w:rFonts w:hint="eastAsia" w:ascii="仿宋_GB2312" w:hAnsi="宋体" w:eastAsia="仿宋_GB2312"/>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lang w:val="en-US" w:eastAsia="zh-CN"/>
          <w14:textFill>
            <w14:solidFill>
              <w14:schemeClr w14:val="tx1"/>
            </w14:solidFill>
          </w14:textFill>
        </w:rPr>
        <w:t>不外排</w:t>
      </w:r>
      <w:r>
        <w:rPr>
          <w:rFonts w:hint="eastAsia" w:ascii="仿宋_GB2312" w:hAnsi="宋体" w:eastAsia="仿宋_GB2312"/>
          <w:color w:val="000000" w:themeColor="text1"/>
          <w:sz w:val="32"/>
          <w:szCs w:val="32"/>
          <w14:textFill>
            <w14:solidFill>
              <w14:schemeClr w14:val="tx1"/>
            </w14:solidFill>
          </w14:textFill>
        </w:rPr>
        <w:t>。</w:t>
      </w:r>
    </w:p>
    <w:p w14:paraId="1B87FC6A">
      <w:pPr>
        <w:overflowPunct w:val="0"/>
        <w:autoSpaceDE w:val="0"/>
        <w:autoSpaceDN w:val="0"/>
        <w:adjustRightInd w:val="0"/>
        <w:snapToGrid w:val="0"/>
        <w:spacing w:line="560" w:lineRule="exact"/>
        <w:ind w:firstLine="640" w:firstLineChars="200"/>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（三）噪声污染防治</w:t>
      </w:r>
    </w:p>
    <w:p w14:paraId="1EDC6CEE">
      <w:pPr>
        <w:overflowPunct w:val="0"/>
        <w:autoSpaceDE w:val="0"/>
        <w:autoSpaceDN w:val="0"/>
        <w:adjustRightInd w:val="0"/>
        <w:snapToGrid w:val="0"/>
        <w:spacing w:line="560" w:lineRule="exact"/>
        <w:ind w:firstLine="643"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1.施工期噪声防治措施。</w:t>
      </w:r>
      <w:r>
        <w:rPr>
          <w:rFonts w:hint="eastAsia" w:ascii="仿宋_GB2312" w:hAnsi="宋体" w:eastAsia="仿宋_GB2312"/>
          <w:color w:val="000000" w:themeColor="text1"/>
          <w:sz w:val="32"/>
          <w:szCs w:val="32"/>
          <w14:textFill>
            <w14:solidFill>
              <w14:schemeClr w14:val="tx1"/>
            </w14:solidFill>
          </w14:textFill>
        </w:rPr>
        <w:t>合理安排施工时间，合理布局施工现场，使施工设备适当分散布置在施工场地，避免在同一地点安排大量设备，以避免局部声级过高，尽量采用低噪声设备；在施工过程中施工单位应设专人对设备进行定期保养和维护，避免因松动部件振动或消声器损坏而加大设备工作时的声级；设备用完后或不用时应立即关闭；施工车辆出入施工现场时应低速、禁鸣。</w:t>
      </w:r>
    </w:p>
    <w:p w14:paraId="094BA867">
      <w:pPr>
        <w:overflowPunct w:val="0"/>
        <w:autoSpaceDE w:val="0"/>
        <w:autoSpaceDN w:val="0"/>
        <w:adjustRightInd w:val="0"/>
        <w:snapToGrid w:val="0"/>
        <w:spacing w:line="560" w:lineRule="exact"/>
        <w:ind w:firstLine="643" w:firstLineChars="200"/>
        <w:rPr>
          <w:rFonts w:hint="eastAsia" w:ascii="仿宋_GB2312" w:hAnsi="宋体" w:eastAsia="仿宋_GB2312"/>
          <w:b/>
          <w:bCs/>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2.运营期噪声防治措施。</w:t>
      </w:r>
      <w:r>
        <w:rPr>
          <w:rFonts w:hint="eastAsia" w:ascii="仿宋_GB2312" w:eastAsia="仿宋_GB2312"/>
          <w:color w:val="000000" w:themeColor="text1"/>
          <w:sz w:val="32"/>
          <w:szCs w:val="32"/>
          <w14:textFill>
            <w14:solidFill>
              <w14:schemeClr w14:val="tx1"/>
            </w14:solidFill>
          </w14:textFill>
        </w:rPr>
        <w:t>项目运营后，采取选用低噪声设施、基础减振、厂房隔声等噪声治理措施。</w:t>
      </w:r>
    </w:p>
    <w:p w14:paraId="368824E6">
      <w:pPr>
        <w:overflowPunct w:val="0"/>
        <w:autoSpaceDE w:val="0"/>
        <w:autoSpaceDN w:val="0"/>
        <w:adjustRightInd w:val="0"/>
        <w:snapToGrid w:val="0"/>
        <w:spacing w:line="560" w:lineRule="exact"/>
        <w:ind w:firstLine="640" w:firstLineChars="200"/>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（四）固体废物处理及处置</w:t>
      </w:r>
    </w:p>
    <w:p w14:paraId="1FFC6F36">
      <w:pPr>
        <w:spacing w:line="560" w:lineRule="exact"/>
        <w:ind w:firstLine="643" w:firstLineChars="200"/>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1.施工期固体废物防治措施</w:t>
      </w:r>
      <w:r>
        <w:rPr>
          <w:rFonts w:hint="eastAsia" w:ascii="仿宋_GB2312" w:hAnsi="宋体" w:eastAsia="仿宋_GB2312"/>
          <w:b/>
          <w:bCs/>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14:textFill>
            <w14:solidFill>
              <w14:schemeClr w14:val="tx1"/>
            </w14:solidFill>
          </w14:textFill>
        </w:rPr>
        <w:t>建筑垃圾及时外运至指定地点处置；生活垃圾，定点收集，委托环卫部门处理。</w:t>
      </w:r>
    </w:p>
    <w:p w14:paraId="6982610E">
      <w:pPr>
        <w:pStyle w:val="7"/>
        <w:spacing w:line="560" w:lineRule="exact"/>
        <w:rPr>
          <w:rFonts w:hint="eastAsia" w:ascii="仿宋_GB2312" w:hAnsi="Times New Roman" w:eastAsia="仿宋_GB2312"/>
          <w:color w:val="000000" w:themeColor="text1"/>
          <w:sz w:val="32"/>
          <w:szCs w:val="32"/>
          <w14:textFill>
            <w14:solidFill>
              <w14:schemeClr w14:val="tx1"/>
            </w14:solidFill>
          </w14:textFill>
        </w:rPr>
      </w:pPr>
      <w:r>
        <w:rPr>
          <w:rFonts w:hint="eastAsia" w:ascii="仿宋_GB2312" w:hAnsi="仿宋" w:eastAsia="仿宋_GB2312" w:cs="仿宋"/>
          <w:b/>
          <w:bCs/>
          <w:color w:val="000000" w:themeColor="text1"/>
          <w:sz w:val="32"/>
          <w:szCs w:val="32"/>
          <w14:textFill>
            <w14:solidFill>
              <w14:schemeClr w14:val="tx1"/>
            </w14:solidFill>
          </w14:textFill>
        </w:rPr>
        <w:t>2.</w:t>
      </w:r>
      <w:r>
        <w:rPr>
          <w:rFonts w:hint="eastAsia" w:ascii="仿宋_GB2312" w:hAnsi="Times New Roman" w:eastAsia="仿宋_GB2312"/>
          <w:b/>
          <w:bCs/>
          <w:color w:val="000000" w:themeColor="text1"/>
          <w:sz w:val="32"/>
          <w:szCs w:val="32"/>
          <w14:textFill>
            <w14:solidFill>
              <w14:schemeClr w14:val="tx1"/>
            </w14:solidFill>
          </w14:textFill>
        </w:rPr>
        <w:t>运营期固体废物防治措施。</w:t>
      </w:r>
      <w:r>
        <w:rPr>
          <w:rFonts w:hint="eastAsia" w:ascii="仿宋_GB2312" w:hAnsi="Times New Roman" w:eastAsia="仿宋_GB2312"/>
          <w:color w:val="000000" w:themeColor="text1"/>
          <w:sz w:val="32"/>
          <w:szCs w:val="32"/>
          <w14:textFill>
            <w14:solidFill>
              <w14:schemeClr w14:val="tx1"/>
            </w14:solidFill>
          </w14:textFill>
        </w:rPr>
        <w:t>一般工业固废：库顶除尘器产生的除尘灰直接回落至各贮存库内，不外排；粉磨筛分工序产生的除尘灰送至水泥包装车间，不外排；包装车间除尘器产生的除尘灰回用于包装工序，不外排；各转运点产生的粉尘回用于物料输送系统，不外排；沸腾炉除尘器产生的除尘灰回用于AL型复合凝胶材料生产线，不外排。各产尘点产生的粉尘经除尘器等装置处理，收集后直接全部回用生产线，不外排。炉渣集中收集在垃圾暂存间，定期外售综合利用。废包装袋集中收集在垃圾暂存间，定期外售综合利用。废布袋集中收集在垃圾暂存间，定期外售综合利用。现有生活垃圾集中收集在垃圾暂存间，定期由环卫部门清运处理。</w:t>
      </w:r>
    </w:p>
    <w:p w14:paraId="059CEE7F">
      <w:pPr>
        <w:pStyle w:val="7"/>
        <w:spacing w:line="560" w:lineRule="exact"/>
        <w:rPr>
          <w:rFonts w:hint="eastAsia" w:ascii="Times New Roman" w:hAnsi="Times New Roman" w:eastAsia="仿宋_GB2312"/>
          <w:sz w:val="32"/>
          <w:szCs w:val="32"/>
          <w:lang w:eastAsia="zh-CN"/>
        </w:rPr>
      </w:pPr>
      <w:r>
        <w:rPr>
          <w:rFonts w:hint="eastAsia" w:ascii="方正楷体_GB2312" w:hAnsi="楷体" w:eastAsia="方正楷体_GB2312" w:cs="楷体"/>
          <w:color w:val="000000" w:themeColor="text1"/>
          <w:sz w:val="32"/>
          <w:szCs w:val="32"/>
          <w:lang w:eastAsia="zh-CN"/>
          <w14:textFill>
            <w14:solidFill>
              <w14:schemeClr w14:val="tx1"/>
            </w14:solidFill>
          </w14:textFill>
        </w:rPr>
        <w:t>（五）</w:t>
      </w:r>
      <w:r>
        <w:rPr>
          <w:rFonts w:hint="eastAsia" w:ascii="方正楷体_GB2312" w:hAnsi="楷体" w:eastAsia="方正楷体_GB2312" w:cs="楷体"/>
          <w:color w:val="000000" w:themeColor="text1"/>
          <w:sz w:val="32"/>
          <w:szCs w:val="32"/>
          <w:lang w:val="en-US" w:eastAsia="zh-CN"/>
          <w14:textFill>
            <w14:solidFill>
              <w14:schemeClr w14:val="tx1"/>
            </w14:solidFill>
          </w14:textFill>
        </w:rPr>
        <w:t>土壤、地下水</w:t>
      </w:r>
      <w:r>
        <w:rPr>
          <w:rFonts w:hint="eastAsia" w:ascii="方正楷体_GB2312" w:hAnsi="楷体" w:eastAsia="方正楷体_GB2312" w:cs="楷体"/>
          <w:color w:val="000000" w:themeColor="text1"/>
          <w:sz w:val="32"/>
          <w:szCs w:val="32"/>
          <w:lang w:eastAsia="zh-CN"/>
          <w14:textFill>
            <w14:solidFill>
              <w14:schemeClr w14:val="tx1"/>
            </w14:solidFill>
          </w14:textFill>
        </w:rPr>
        <w:t>保护措施。</w:t>
      </w:r>
      <w:r>
        <w:rPr>
          <w:rFonts w:hint="eastAsia" w:ascii="Times New Roman" w:hAnsi="Times New Roman" w:eastAsia="仿宋_GB2312"/>
          <w:sz w:val="32"/>
          <w:szCs w:val="32"/>
          <w:lang w:eastAsia="zh-CN"/>
        </w:rPr>
        <w:t>项目地下水污染源主要为循环冷却水池，主要是循环冷却水泄漏可能通过防渗层和包气带垂直下渗污染地下水。项目循环冷却水池依托原有防渗措施，防渗要求满足《环境影响评价技术导则 地下水》表7中地下水污染防渗分区参照表中各防渗区防渗技术要求。</w:t>
      </w:r>
    </w:p>
    <w:p w14:paraId="035B9FFE">
      <w:pPr>
        <w:pStyle w:val="23"/>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_GB2312" w:cs="Times New Roman"/>
          <w:kern w:val="0"/>
          <w:sz w:val="32"/>
          <w:szCs w:val="32"/>
          <w:lang w:val="en-US" w:eastAsia="zh-CN" w:bidi="ar-SA"/>
        </w:rPr>
      </w:pPr>
      <w:r>
        <w:rPr>
          <w:rFonts w:hint="eastAsia" w:ascii="方正楷体_GB2312" w:hAnsi="楷体" w:eastAsia="方正楷体_GB2312" w:cs="楷体"/>
          <w:color w:val="000000" w:themeColor="text1"/>
          <w:kern w:val="0"/>
          <w:sz w:val="32"/>
          <w:szCs w:val="32"/>
          <w:lang w:val="en-US" w:eastAsia="zh-CN" w:bidi="ar-SA"/>
          <w14:textFill>
            <w14:solidFill>
              <w14:schemeClr w14:val="tx1"/>
            </w14:solidFill>
          </w14:textFill>
        </w:rPr>
        <w:t>（六）风险防范措施。</w:t>
      </w:r>
      <w:r>
        <w:rPr>
          <w:rFonts w:hint="default" w:ascii="Times New Roman" w:hAnsi="Times New Roman" w:eastAsia="仿宋_GB2312" w:cs="Times New Roman"/>
          <w:kern w:val="0"/>
          <w:sz w:val="32"/>
          <w:szCs w:val="32"/>
          <w:lang w:val="en-US" w:eastAsia="zh-CN" w:bidi="ar-SA"/>
        </w:rPr>
        <w:t>配置相应类型和数量的灭火器（干粉灭火器等），并在火灾危险场所设置报警装置。消防器材应当设置在明显和便于取用的地点，周围不准堆放物品和杂物。车间的消防设施、器材由专人管理，负责检查、维修、保养、更换和添置，保证完好有效，严禁圈占、埋压和挪用。项目建成后配备相应的灭火器材，满足消防的需求；生物质颗粒的使用、储存、运输、管理按照国家标准和要求，进行设计、施工、运行，设置卫生应急措施，减少对环境、人员产生影响；各生产装置之间严格按防火防爆间距布置，厂房及建筑物按规定等级设计</w:t>
      </w:r>
      <w:r>
        <w:rPr>
          <w:rFonts w:hint="eastAsia" w:ascii="Times New Roman" w:hAnsi="Times New Roman"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根据车间（工序）生产过程中火灾危险等级及毒物危害程度分级进行分类、分区布置。电气和仪表专业设计按照《爆炸危险环境电力装置设计</w:t>
      </w:r>
      <w:r>
        <w:rPr>
          <w:rFonts w:hint="default" w:ascii="仿宋_GB2312" w:hAnsi="宋体" w:eastAsia="仿宋_GB2312" w:cs="Times New Roman"/>
          <w:color w:val="000000" w:themeColor="text1"/>
          <w:kern w:val="2"/>
          <w:sz w:val="32"/>
          <w:szCs w:val="32"/>
          <w:lang w:val="en-US" w:eastAsia="zh-CN" w:bidi="ar-SA"/>
          <w14:textFill>
            <w14:solidFill>
              <w14:schemeClr w14:val="tx1"/>
            </w14:solidFill>
          </w14:textFill>
        </w:rPr>
        <w:t>规范》（GB5008-2014）执行</w:t>
      </w:r>
      <w:r>
        <w:rPr>
          <w:rFonts w:hint="default" w:ascii="Times New Roman" w:hAnsi="Times New Roman" w:eastAsia="仿宋_GB2312" w:cs="Times New Roman"/>
          <w:kern w:val="0"/>
          <w:sz w:val="32"/>
          <w:szCs w:val="32"/>
          <w:lang w:val="en-US" w:eastAsia="zh-CN" w:bidi="ar-SA"/>
        </w:rPr>
        <w:t>，将能产生电火花的设备放在远离现场的配电站内，并采用密闭电器。</w:t>
      </w:r>
    </w:p>
    <w:p w14:paraId="70763C40">
      <w:pPr>
        <w:overflowPunct w:val="0"/>
        <w:autoSpaceDE w:val="0"/>
        <w:autoSpaceDN w:val="0"/>
        <w:adjustRightInd w:val="0"/>
        <w:snapToGrid w:val="0"/>
        <w:spacing w:line="560" w:lineRule="exact"/>
        <w:ind w:firstLine="640" w:firstLineChars="20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三、项目建设必须严格执行环境保护设施与主体工程同时设计、同时施工、同时投入使用的环境保护“三同时”制度:</w:t>
      </w:r>
    </w:p>
    <w:p w14:paraId="02F25359">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（一）要将环境保护措施纳入初步设计报告并落实环保设施投资概算。</w:t>
      </w:r>
    </w:p>
    <w:p w14:paraId="2574269F">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（二）要将环境保护设施建设纳入施工合同，保证环境保护设施建设进度和资金。</w:t>
      </w:r>
    </w:p>
    <w:p w14:paraId="73FA5875">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（三）项目竣工后，须按规定程序实施竣工环境保护验收，验收合格后方可正式投运。</w:t>
      </w:r>
    </w:p>
    <w:p w14:paraId="66208846">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四）环境影响报告表批准后，项目性质、规模、地点、采用的生产工艺或者防治污染措施发生重大变动的，应当重新报批该项目环境影响报告表。自环境影响报告表批复文件批准之日起，如超过五年工程才决定开工的，应当在开工前将《报告表》报有审批权的生态环境主管部门重新审核。</w:t>
      </w:r>
    </w:p>
    <w:p w14:paraId="0918C45E">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（五）锡林郭勒盟生态环境局阿巴嘎旗分局和阿巴嘎旗生态环境综合行政执法大队对该项目建设期和运营期各项生态环境保护措施落实情况进行监督检查和管理。</w:t>
      </w:r>
    </w:p>
    <w:p w14:paraId="16BD0C85">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537F3ACB">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577C2CB4">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08404FDA">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lang w:val="en-US" w:eastAsia="zh-CN"/>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 xml:space="preserve">          </w:t>
      </w:r>
      <w:r>
        <w:rPr>
          <w:rFonts w:hint="eastAsia" w:ascii="仿宋_GB2312" w:hAnsi="宋体" w:eastAsia="仿宋_GB2312"/>
          <w:color w:val="000000" w:themeColor="text1"/>
          <w:sz w:val="32"/>
          <w:szCs w:val="32"/>
          <w:lang w:val="en-US" w:eastAsia="zh-CN"/>
          <w14:textFill>
            <w14:solidFill>
              <w14:schemeClr w14:val="tx1"/>
            </w14:solidFill>
          </w14:textFill>
        </w:rPr>
        <w:t xml:space="preserve"> </w:t>
      </w:r>
    </w:p>
    <w:p w14:paraId="2644126C">
      <w:pPr>
        <w:overflowPunct w:val="0"/>
        <w:autoSpaceDE w:val="0"/>
        <w:autoSpaceDN w:val="0"/>
        <w:adjustRightInd w:val="0"/>
        <w:snapToGrid w:val="0"/>
        <w:spacing w:line="560" w:lineRule="exact"/>
        <w:jc w:val="right"/>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锡林郭勒盟生态环境局</w:t>
      </w:r>
    </w:p>
    <w:p w14:paraId="1C8383DE">
      <w:pPr>
        <w:kinsoku w:val="0"/>
        <w:overflowPunct w:val="0"/>
        <w:autoSpaceDE w:val="0"/>
        <w:autoSpaceDN w:val="0"/>
        <w:adjustRightInd w:val="0"/>
        <w:snapToGrid w:val="0"/>
        <w:spacing w:line="560" w:lineRule="exact"/>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 xml:space="preserve">                               </w:t>
      </w:r>
      <w:r>
        <w:rPr>
          <w:rFonts w:ascii="仿宋_GB2312" w:hAnsi="宋体" w:eastAsia="仿宋_GB2312"/>
          <w:color w:val="000000" w:themeColor="text1"/>
          <w:sz w:val="32"/>
          <w:szCs w:val="32"/>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 xml:space="preserve">   2025年</w:t>
      </w:r>
      <w:r>
        <w:rPr>
          <w:rFonts w:hint="eastAsia" w:ascii="仿宋_GB2312" w:hAnsi="宋体" w:eastAsia="仿宋_GB2312"/>
          <w:color w:val="000000" w:themeColor="text1"/>
          <w:sz w:val="32"/>
          <w:szCs w:val="32"/>
          <w:lang w:val="en-US" w:eastAsia="zh-CN"/>
          <w14:textFill>
            <w14:solidFill>
              <w14:schemeClr w14:val="tx1"/>
            </w14:solidFill>
          </w14:textFill>
        </w:rPr>
        <w:t>6</w:t>
      </w:r>
      <w:r>
        <w:rPr>
          <w:rFonts w:hint="eastAsia" w:ascii="仿宋_GB2312" w:hAnsi="宋体" w:eastAsia="仿宋_GB2312"/>
          <w:color w:val="000000" w:themeColor="text1"/>
          <w:sz w:val="32"/>
          <w:szCs w:val="32"/>
          <w14:textFill>
            <w14:solidFill>
              <w14:schemeClr w14:val="tx1"/>
            </w14:solidFill>
          </w14:textFill>
        </w:rPr>
        <w:t>月</w:t>
      </w:r>
      <w:r>
        <w:rPr>
          <w:rFonts w:hint="eastAsia" w:ascii="仿宋_GB2312" w:hAnsi="宋体" w:eastAsia="仿宋_GB2312"/>
          <w:color w:val="000000" w:themeColor="text1"/>
          <w:sz w:val="32"/>
          <w:szCs w:val="32"/>
          <w:lang w:val="en-US" w:eastAsia="zh-CN"/>
          <w14:textFill>
            <w14:solidFill>
              <w14:schemeClr w14:val="tx1"/>
            </w14:solidFill>
          </w14:textFill>
        </w:rPr>
        <w:t>12</w:t>
      </w:r>
      <w:r>
        <w:rPr>
          <w:rFonts w:hint="eastAsia" w:ascii="仿宋_GB2312" w:hAnsi="宋体" w:eastAsia="仿宋_GB2312"/>
          <w:color w:val="000000" w:themeColor="text1"/>
          <w:sz w:val="32"/>
          <w:szCs w:val="32"/>
          <w14:textFill>
            <w14:solidFill>
              <w14:schemeClr w14:val="tx1"/>
            </w14:solidFill>
          </w14:textFill>
        </w:rPr>
        <w:t>日</w:t>
      </w:r>
    </w:p>
    <w:p w14:paraId="7C668BD3">
      <w:pPr>
        <w:pStyle w:val="7"/>
        <w:ind w:firstLine="0"/>
        <w:rPr>
          <w:color w:val="000000" w:themeColor="text1"/>
          <w:lang w:eastAsia="zh-CN"/>
          <w14:textFill>
            <w14:solidFill>
              <w14:schemeClr w14:val="tx1"/>
            </w14:solidFill>
          </w14:textFill>
        </w:rPr>
      </w:pPr>
    </w:p>
    <w:p w14:paraId="1E05EE11">
      <w:pPr>
        <w:pStyle w:val="7"/>
        <w:ind w:firstLine="420"/>
        <w:rPr>
          <w:lang w:eastAsia="zh-CN"/>
        </w:rPr>
      </w:pPr>
    </w:p>
    <w:p w14:paraId="1E0E434F">
      <w:pPr>
        <w:rPr>
          <w:lang w:eastAsia="zh-CN"/>
        </w:rPr>
      </w:pPr>
    </w:p>
    <w:p w14:paraId="0C56D2EB">
      <w:pPr>
        <w:rPr>
          <w:lang w:eastAsia="zh-CN"/>
        </w:rPr>
      </w:pPr>
    </w:p>
    <w:p w14:paraId="4D81C928">
      <w:pPr>
        <w:rPr>
          <w:lang w:eastAsia="zh-CN"/>
        </w:rPr>
      </w:pPr>
    </w:p>
    <w:p w14:paraId="6A0FE0BC">
      <w:pPr>
        <w:rPr>
          <w:lang w:eastAsia="zh-CN"/>
        </w:rPr>
      </w:pPr>
    </w:p>
    <w:p w14:paraId="3E0D908F">
      <w:pPr>
        <w:rPr>
          <w:lang w:eastAsia="zh-CN"/>
        </w:rPr>
      </w:pPr>
    </w:p>
    <w:p w14:paraId="12BCA936">
      <w:pPr>
        <w:rPr>
          <w:lang w:eastAsia="zh-CN"/>
        </w:rPr>
      </w:pPr>
    </w:p>
    <w:p w14:paraId="1C7042FA">
      <w:pPr>
        <w:rPr>
          <w:lang w:eastAsia="zh-CN"/>
        </w:rPr>
      </w:pPr>
    </w:p>
    <w:p w14:paraId="71084FD5">
      <w:pPr>
        <w:rPr>
          <w:lang w:eastAsia="zh-CN"/>
        </w:rPr>
      </w:pPr>
    </w:p>
    <w:p w14:paraId="4DE8395F">
      <w:pPr>
        <w:rPr>
          <w:color w:val="000000" w:themeColor="text1"/>
          <w14:textFill>
            <w14:solidFill>
              <w14:schemeClr w14:val="tx1"/>
            </w14:solidFill>
          </w14:textFill>
        </w:rPr>
      </w:pPr>
    </w:p>
    <w:p w14:paraId="60EDE13A">
      <w:pPr>
        <w:spacing w:line="560" w:lineRule="exact"/>
        <w:ind w:firstLine="280" w:firstLineChars="1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12700</wp:posOffset>
                </wp:positionH>
                <wp:positionV relativeFrom="paragraph">
                  <wp:posOffset>36195</wp:posOffset>
                </wp:positionV>
                <wp:extent cx="5612130" cy="635"/>
                <wp:effectExtent l="0" t="0" r="0" b="0"/>
                <wp:wrapNone/>
                <wp:docPr id="1" name="直接连接符 3"/>
                <wp:cNvGraphicFramePr/>
                <a:graphic xmlns:a="http://schemas.openxmlformats.org/drawingml/2006/main">
                  <a:graphicData uri="http://schemas.microsoft.com/office/word/2010/wordprocessingShape">
                    <wps:wsp>
                      <wps:cNvCnPr/>
                      <wps:spPr>
                        <a:xfrm>
                          <a:off x="0" y="0"/>
                          <a:ext cx="5612130" cy="635"/>
                        </a:xfrm>
                        <a:prstGeom prst="straightConnector1">
                          <a:avLst/>
                        </a:prstGeom>
                        <a:ln w="3175" cap="flat" cmpd="sng">
                          <a:solidFill>
                            <a:srgbClr val="000000"/>
                          </a:solidFill>
                          <a:prstDash val="solid"/>
                          <a:headEnd type="none" w="med" len="med"/>
                          <a:tailEnd type="none" w="med" len="med"/>
                        </a:ln>
                      </wps:spPr>
                      <wps:bodyPr/>
                    </wps:wsp>
                  </a:graphicData>
                </a:graphic>
              </wp:anchor>
            </w:drawing>
          </mc:Choice>
          <mc:Fallback>
            <w:pict>
              <v:shape id="直接连接符 3" o:spid="_x0000_s1026" o:spt="32" type="#_x0000_t32" style="position:absolute;left:0pt;margin-left:1pt;margin-top:2.85pt;height:0.05pt;width:441.9pt;z-index:251659264;mso-width-relative:page;mso-height-relative:page;" filled="f" stroked="t" coordsize="21600,21600" o:gfxdata="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qKzKp0wAAAAUBAAAPAAAAAAAAAAEAIAAAACIAAABkcnMvZG93bnJldi54bWxQSwECFAAU&#10;AAAACACHTuJAZOmBZvYBAADoAwAADgAAAAAAAAABACAAAAAiAQAAZHJzL2Uyb0RvYy54bWxQSwUG&#10;AAAAAAYABgBZAQAAigUAAAAA&#10;">
                <v:fill on="f" focussize="0,0"/>
                <v:stroke weight="0.25pt" color="#000000" joinstyle="round"/>
                <v:imagedata o:title=""/>
                <o:lock v:ext="edit" aspectratio="f"/>
              </v:shape>
            </w:pict>
          </mc:Fallback>
        </mc:AlternateContent>
      </w:r>
      <w:r>
        <w:rPr>
          <w:rFonts w:hint="eastAsia" w:ascii="仿宋_GB2312" w:hAnsi="仿宋_GB2312" w:eastAsia="仿宋_GB2312" w:cs="仿宋_GB2312"/>
          <w:color w:val="000000" w:themeColor="text1"/>
          <w:sz w:val="28"/>
          <w:szCs w:val="28"/>
          <w14:textFill>
            <w14:solidFill>
              <w14:schemeClr w14:val="tx1"/>
            </w14:solidFill>
          </w14:textFill>
        </w:rPr>
        <w:t>抄送：盟生态环境综合行政执法支队、盟生态环境局阿巴嘎旗分局</w:t>
      </w:r>
    </w:p>
    <w:p w14:paraId="0AC4942E">
      <w:pPr>
        <w:pStyle w:val="9"/>
        <w:pBdr>
          <w:top w:val="single" w:color="auto" w:sz="4" w:space="0"/>
          <w:bottom w:val="single" w:color="auto" w:sz="4" w:space="0"/>
        </w:pBdr>
        <w:spacing w:before="62" w:beforeLines="20" w:line="560" w:lineRule="exact"/>
        <w:ind w:firstLine="280" w:firstLineChars="100"/>
        <w:jc w:val="both"/>
        <w:rPr>
          <w:color w:val="000000" w:themeColor="text1"/>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锡林郭勒盟生态环境局办公室              2025年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6</w:t>
      </w:r>
      <w:r>
        <w:rPr>
          <w:rFonts w:hint="eastAsia" w:ascii="仿宋_GB2312" w:hAnsi="仿宋_GB2312" w:eastAsia="仿宋_GB2312" w:cs="仿宋_GB2312"/>
          <w:color w:val="000000" w:themeColor="text1"/>
          <w:sz w:val="28"/>
          <w:szCs w:val="28"/>
          <w14:textFill>
            <w14:solidFill>
              <w14:schemeClr w14:val="tx1"/>
            </w14:solidFill>
          </w14:textFill>
        </w:rPr>
        <w:t>月</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12</w:t>
      </w:r>
      <w:bookmarkStart w:id="1" w:name="_GoBack"/>
      <w:bookmarkEnd w:id="1"/>
      <w:r>
        <w:rPr>
          <w:rFonts w:hint="eastAsia" w:ascii="仿宋_GB2312" w:hAnsi="仿宋_GB2312" w:eastAsia="仿宋_GB2312" w:cs="仿宋_GB2312"/>
          <w:color w:val="000000" w:themeColor="text1"/>
          <w:sz w:val="28"/>
          <w:szCs w:val="28"/>
          <w14:textFill>
            <w14:solidFill>
              <w14:schemeClr w14:val="tx1"/>
            </w14:solidFill>
          </w14:textFill>
        </w:rPr>
        <w:t>日印发</w:t>
      </w:r>
    </w:p>
    <w:sectPr>
      <w:footerReference r:id="rId3" w:type="default"/>
      <w:pgSz w:w="11906" w:h="16838"/>
      <w:pgMar w:top="1797" w:right="1474"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2312">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FD000">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3FEEB9">
                          <w:pPr>
                            <w:pStyle w:val="9"/>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hint="eastAsia" w:ascii="宋体" w:hAnsi="宋体"/>
                              <w:sz w:val="28"/>
                              <w:szCs w:val="28"/>
                            </w:rPr>
                            <w:t>1</w:t>
                          </w:r>
                          <w:r>
                            <w:rPr>
                              <w:rFonts w:hint="eastAsia" w:ascii="宋体" w:hAnsi="宋体"/>
                              <w:sz w:val="28"/>
                              <w:szCs w:val="28"/>
                            </w:rPr>
                            <w:fldChar w:fldCharType="end"/>
                          </w:r>
                          <w:r>
                            <w:rPr>
                              <w:rFonts w:hint="eastAsia" w:ascii="宋体" w:hAnsi="宋体"/>
                              <w:sz w:val="28"/>
                              <w:szCs w:val="28"/>
                            </w:rPr>
                            <w:t xml:space="preserve"> </w:t>
                          </w:r>
                          <w:r>
                            <w:rPr>
                              <w:rFonts w:hint="eastAsia"/>
                            </w:rPr>
                            <w:t>—</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omXUMQBAACQ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yUg1wN8eIhbO/STUEWoqhoPKjKalSpvw5z1nPf9I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PomXUMQBAACQAwAADgAAAAAAAAABACAAAAAeAQAAZHJzL2Uyb0RvYy54bWxQ&#10;SwUGAAAAAAYABgBZAQAAVAUAAAAA&#10;">
              <v:fill on="f" focussize="0,0"/>
              <v:stroke on="f"/>
              <v:imagedata o:title=""/>
              <o:lock v:ext="edit" aspectratio="f"/>
              <v:textbox inset="0mm,0mm,0mm,0mm" style="mso-fit-shape-to-text:t;">
                <w:txbxContent>
                  <w:p w14:paraId="733FEEB9">
                    <w:pPr>
                      <w:pStyle w:val="9"/>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hint="eastAsia" w:ascii="宋体" w:hAnsi="宋体"/>
                        <w:sz w:val="28"/>
                        <w:szCs w:val="28"/>
                      </w:rPr>
                      <w:t>1</w:t>
                    </w:r>
                    <w:r>
                      <w:rPr>
                        <w:rFonts w:hint="eastAsia" w:ascii="宋体" w:hAnsi="宋体"/>
                        <w:sz w:val="28"/>
                        <w:szCs w:val="28"/>
                      </w:rPr>
                      <w:fldChar w:fldCharType="end"/>
                    </w:r>
                    <w:r>
                      <w:rPr>
                        <w:rFonts w:hint="eastAsia" w:ascii="宋体" w:hAnsi="宋体"/>
                        <w:sz w:val="28"/>
                        <w:szCs w:val="28"/>
                      </w:rPr>
                      <w:t xml:space="preserve"> </w:t>
                    </w:r>
                    <w:r>
                      <w:rPr>
                        <w:rFonts w:hint="eastAsia"/>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61489"/>
    <w:multiLevelType w:val="singleLevel"/>
    <w:tmpl w:val="93C6148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mMTZhZmI4OWM5MDA0M2RkYjFmOTg4ODM3NzhkOGUifQ=="/>
  </w:docVars>
  <w:rsids>
    <w:rsidRoot w:val="000D4321"/>
    <w:rsid w:val="00014BC3"/>
    <w:rsid w:val="00016461"/>
    <w:rsid w:val="00021373"/>
    <w:rsid w:val="00022C38"/>
    <w:rsid w:val="00023581"/>
    <w:rsid w:val="000404B1"/>
    <w:rsid w:val="00041296"/>
    <w:rsid w:val="00043C77"/>
    <w:rsid w:val="00054BCA"/>
    <w:rsid w:val="000631B7"/>
    <w:rsid w:val="000633A5"/>
    <w:rsid w:val="0007260E"/>
    <w:rsid w:val="00073DCC"/>
    <w:rsid w:val="00077B62"/>
    <w:rsid w:val="00080288"/>
    <w:rsid w:val="000871F8"/>
    <w:rsid w:val="000926CF"/>
    <w:rsid w:val="000A3C9C"/>
    <w:rsid w:val="000B14EB"/>
    <w:rsid w:val="000B2804"/>
    <w:rsid w:val="000B40F1"/>
    <w:rsid w:val="000B4B35"/>
    <w:rsid w:val="000B67E1"/>
    <w:rsid w:val="000C14CA"/>
    <w:rsid w:val="000D4321"/>
    <w:rsid w:val="000E47F3"/>
    <w:rsid w:val="000F1552"/>
    <w:rsid w:val="000F3984"/>
    <w:rsid w:val="0010014D"/>
    <w:rsid w:val="00110B5D"/>
    <w:rsid w:val="00114AB6"/>
    <w:rsid w:val="001154B9"/>
    <w:rsid w:val="001336F3"/>
    <w:rsid w:val="001363F0"/>
    <w:rsid w:val="001377C3"/>
    <w:rsid w:val="00143AAF"/>
    <w:rsid w:val="00144D51"/>
    <w:rsid w:val="00156D20"/>
    <w:rsid w:val="001634C8"/>
    <w:rsid w:val="0016496B"/>
    <w:rsid w:val="001665B1"/>
    <w:rsid w:val="001667CC"/>
    <w:rsid w:val="001730B2"/>
    <w:rsid w:val="00173CF7"/>
    <w:rsid w:val="0017567C"/>
    <w:rsid w:val="001757EE"/>
    <w:rsid w:val="00184A29"/>
    <w:rsid w:val="00185005"/>
    <w:rsid w:val="0018654B"/>
    <w:rsid w:val="00191BBD"/>
    <w:rsid w:val="001934A1"/>
    <w:rsid w:val="00194F2D"/>
    <w:rsid w:val="001A0707"/>
    <w:rsid w:val="001A2789"/>
    <w:rsid w:val="001A289A"/>
    <w:rsid w:val="001A4ABE"/>
    <w:rsid w:val="001B458A"/>
    <w:rsid w:val="001B4F00"/>
    <w:rsid w:val="001C12BB"/>
    <w:rsid w:val="001C5D7D"/>
    <w:rsid w:val="001C6F41"/>
    <w:rsid w:val="001C77A0"/>
    <w:rsid w:val="001D2199"/>
    <w:rsid w:val="001D6824"/>
    <w:rsid w:val="001E28AF"/>
    <w:rsid w:val="001E5C99"/>
    <w:rsid w:val="001F2931"/>
    <w:rsid w:val="001F29E6"/>
    <w:rsid w:val="002029DC"/>
    <w:rsid w:val="00214954"/>
    <w:rsid w:val="00214AC5"/>
    <w:rsid w:val="00220818"/>
    <w:rsid w:val="00227B3B"/>
    <w:rsid w:val="00237A02"/>
    <w:rsid w:val="0025402B"/>
    <w:rsid w:val="0027421B"/>
    <w:rsid w:val="00276377"/>
    <w:rsid w:val="00276B95"/>
    <w:rsid w:val="00281D82"/>
    <w:rsid w:val="00285BBC"/>
    <w:rsid w:val="00286929"/>
    <w:rsid w:val="00287EA9"/>
    <w:rsid w:val="00296307"/>
    <w:rsid w:val="002A2EBD"/>
    <w:rsid w:val="002A57BB"/>
    <w:rsid w:val="002A6BCD"/>
    <w:rsid w:val="002B4290"/>
    <w:rsid w:val="002C14FE"/>
    <w:rsid w:val="002C5C46"/>
    <w:rsid w:val="002D17C7"/>
    <w:rsid w:val="002D7F4F"/>
    <w:rsid w:val="002E32AB"/>
    <w:rsid w:val="00300989"/>
    <w:rsid w:val="0032281E"/>
    <w:rsid w:val="00330B1D"/>
    <w:rsid w:val="00334735"/>
    <w:rsid w:val="00342D05"/>
    <w:rsid w:val="003446F8"/>
    <w:rsid w:val="00362FCD"/>
    <w:rsid w:val="003660F7"/>
    <w:rsid w:val="00366D97"/>
    <w:rsid w:val="00367982"/>
    <w:rsid w:val="00371C87"/>
    <w:rsid w:val="00375DDA"/>
    <w:rsid w:val="00384AA1"/>
    <w:rsid w:val="003A1D52"/>
    <w:rsid w:val="003A2731"/>
    <w:rsid w:val="003B2B89"/>
    <w:rsid w:val="003B3BE0"/>
    <w:rsid w:val="003B3D52"/>
    <w:rsid w:val="003B6966"/>
    <w:rsid w:val="003C6202"/>
    <w:rsid w:val="003D2E10"/>
    <w:rsid w:val="003D6458"/>
    <w:rsid w:val="003E0605"/>
    <w:rsid w:val="003E1170"/>
    <w:rsid w:val="003E14A6"/>
    <w:rsid w:val="003F0AB0"/>
    <w:rsid w:val="00403479"/>
    <w:rsid w:val="0041034D"/>
    <w:rsid w:val="0042123E"/>
    <w:rsid w:val="00422D2F"/>
    <w:rsid w:val="004318E0"/>
    <w:rsid w:val="00432EEF"/>
    <w:rsid w:val="004423C8"/>
    <w:rsid w:val="00443352"/>
    <w:rsid w:val="00445309"/>
    <w:rsid w:val="0046253A"/>
    <w:rsid w:val="004632AB"/>
    <w:rsid w:val="004632DF"/>
    <w:rsid w:val="00484E73"/>
    <w:rsid w:val="00486B14"/>
    <w:rsid w:val="00492E48"/>
    <w:rsid w:val="004A07E5"/>
    <w:rsid w:val="004A41E3"/>
    <w:rsid w:val="004A7F0C"/>
    <w:rsid w:val="004C1ED9"/>
    <w:rsid w:val="004C4042"/>
    <w:rsid w:val="004D4E19"/>
    <w:rsid w:val="004D5A02"/>
    <w:rsid w:val="004E472D"/>
    <w:rsid w:val="004E7138"/>
    <w:rsid w:val="004E7338"/>
    <w:rsid w:val="004F2D64"/>
    <w:rsid w:val="004F4BA0"/>
    <w:rsid w:val="004F69C0"/>
    <w:rsid w:val="004F6EC3"/>
    <w:rsid w:val="005029B0"/>
    <w:rsid w:val="005034F1"/>
    <w:rsid w:val="00504CF3"/>
    <w:rsid w:val="005109E9"/>
    <w:rsid w:val="0052226E"/>
    <w:rsid w:val="00522924"/>
    <w:rsid w:val="005268F5"/>
    <w:rsid w:val="00534AF5"/>
    <w:rsid w:val="005469CA"/>
    <w:rsid w:val="00546F03"/>
    <w:rsid w:val="005532E8"/>
    <w:rsid w:val="0056191F"/>
    <w:rsid w:val="0056715E"/>
    <w:rsid w:val="00567543"/>
    <w:rsid w:val="00577B98"/>
    <w:rsid w:val="00580098"/>
    <w:rsid w:val="00582E33"/>
    <w:rsid w:val="00593A2F"/>
    <w:rsid w:val="00597C54"/>
    <w:rsid w:val="005A0A60"/>
    <w:rsid w:val="005A1AB6"/>
    <w:rsid w:val="005A4C9D"/>
    <w:rsid w:val="005B7987"/>
    <w:rsid w:val="005C0F25"/>
    <w:rsid w:val="005C3D31"/>
    <w:rsid w:val="005C4984"/>
    <w:rsid w:val="005D2DDC"/>
    <w:rsid w:val="005D6003"/>
    <w:rsid w:val="005E51ED"/>
    <w:rsid w:val="005F0A96"/>
    <w:rsid w:val="00604B6E"/>
    <w:rsid w:val="00606272"/>
    <w:rsid w:val="00611D64"/>
    <w:rsid w:val="006135D2"/>
    <w:rsid w:val="00634B70"/>
    <w:rsid w:val="00644078"/>
    <w:rsid w:val="00644E61"/>
    <w:rsid w:val="00646D34"/>
    <w:rsid w:val="0065078A"/>
    <w:rsid w:val="00653229"/>
    <w:rsid w:val="00656DA9"/>
    <w:rsid w:val="00670AFA"/>
    <w:rsid w:val="00671585"/>
    <w:rsid w:val="00671A9A"/>
    <w:rsid w:val="00676B6B"/>
    <w:rsid w:val="006811B1"/>
    <w:rsid w:val="00682B41"/>
    <w:rsid w:val="006839CA"/>
    <w:rsid w:val="006900F5"/>
    <w:rsid w:val="006950FE"/>
    <w:rsid w:val="0069764E"/>
    <w:rsid w:val="006A4514"/>
    <w:rsid w:val="006A57F3"/>
    <w:rsid w:val="006B1F5D"/>
    <w:rsid w:val="006B2F16"/>
    <w:rsid w:val="006B5F68"/>
    <w:rsid w:val="006B76AD"/>
    <w:rsid w:val="006C57F8"/>
    <w:rsid w:val="006D0A7B"/>
    <w:rsid w:val="006D4549"/>
    <w:rsid w:val="006D4A45"/>
    <w:rsid w:val="006E2C8E"/>
    <w:rsid w:val="006E33CF"/>
    <w:rsid w:val="007004F7"/>
    <w:rsid w:val="0071347B"/>
    <w:rsid w:val="007156F8"/>
    <w:rsid w:val="0071639C"/>
    <w:rsid w:val="00717017"/>
    <w:rsid w:val="00726A41"/>
    <w:rsid w:val="00727B90"/>
    <w:rsid w:val="00742658"/>
    <w:rsid w:val="007433F9"/>
    <w:rsid w:val="007442CF"/>
    <w:rsid w:val="00750F31"/>
    <w:rsid w:val="007535CD"/>
    <w:rsid w:val="00784581"/>
    <w:rsid w:val="007866D2"/>
    <w:rsid w:val="007974D1"/>
    <w:rsid w:val="0079798C"/>
    <w:rsid w:val="007A4F19"/>
    <w:rsid w:val="007B5BDE"/>
    <w:rsid w:val="007B69DA"/>
    <w:rsid w:val="007C1F4E"/>
    <w:rsid w:val="007C42BF"/>
    <w:rsid w:val="007D5933"/>
    <w:rsid w:val="007E0BCA"/>
    <w:rsid w:val="007E3B15"/>
    <w:rsid w:val="007E7F58"/>
    <w:rsid w:val="007F0BC8"/>
    <w:rsid w:val="007F4521"/>
    <w:rsid w:val="007F5820"/>
    <w:rsid w:val="007F72CF"/>
    <w:rsid w:val="0080115A"/>
    <w:rsid w:val="008117DD"/>
    <w:rsid w:val="00812867"/>
    <w:rsid w:val="008130E1"/>
    <w:rsid w:val="00813982"/>
    <w:rsid w:val="00821E20"/>
    <w:rsid w:val="00830DD7"/>
    <w:rsid w:val="00835FC6"/>
    <w:rsid w:val="00863B8D"/>
    <w:rsid w:val="00867C91"/>
    <w:rsid w:val="0088219E"/>
    <w:rsid w:val="0088753F"/>
    <w:rsid w:val="008969DB"/>
    <w:rsid w:val="0089787A"/>
    <w:rsid w:val="008A56BA"/>
    <w:rsid w:val="008A6139"/>
    <w:rsid w:val="008A7F5C"/>
    <w:rsid w:val="008B2EBC"/>
    <w:rsid w:val="008C0209"/>
    <w:rsid w:val="008C3318"/>
    <w:rsid w:val="008D20AE"/>
    <w:rsid w:val="008E1087"/>
    <w:rsid w:val="008F1BA9"/>
    <w:rsid w:val="008F2278"/>
    <w:rsid w:val="008F36F2"/>
    <w:rsid w:val="008F5FB6"/>
    <w:rsid w:val="00902DA6"/>
    <w:rsid w:val="009326AF"/>
    <w:rsid w:val="00934945"/>
    <w:rsid w:val="0093665E"/>
    <w:rsid w:val="00940F76"/>
    <w:rsid w:val="009418ED"/>
    <w:rsid w:val="00950CF7"/>
    <w:rsid w:val="00966D48"/>
    <w:rsid w:val="00997150"/>
    <w:rsid w:val="009B5626"/>
    <w:rsid w:val="009B5F15"/>
    <w:rsid w:val="009C5272"/>
    <w:rsid w:val="009D5899"/>
    <w:rsid w:val="009D6EC8"/>
    <w:rsid w:val="009D7C36"/>
    <w:rsid w:val="009E0C6B"/>
    <w:rsid w:val="009E6CBF"/>
    <w:rsid w:val="00A015FA"/>
    <w:rsid w:val="00A157E2"/>
    <w:rsid w:val="00A5275A"/>
    <w:rsid w:val="00A52EA5"/>
    <w:rsid w:val="00A7191B"/>
    <w:rsid w:val="00A87AF4"/>
    <w:rsid w:val="00A9178B"/>
    <w:rsid w:val="00AA2A73"/>
    <w:rsid w:val="00AC0572"/>
    <w:rsid w:val="00AC3326"/>
    <w:rsid w:val="00AC376B"/>
    <w:rsid w:val="00AE6A7F"/>
    <w:rsid w:val="00B010CB"/>
    <w:rsid w:val="00B06CE1"/>
    <w:rsid w:val="00B0760D"/>
    <w:rsid w:val="00B15160"/>
    <w:rsid w:val="00B156ED"/>
    <w:rsid w:val="00B22D00"/>
    <w:rsid w:val="00B23B09"/>
    <w:rsid w:val="00B2434A"/>
    <w:rsid w:val="00B24A8D"/>
    <w:rsid w:val="00B33825"/>
    <w:rsid w:val="00B355E0"/>
    <w:rsid w:val="00B52F4A"/>
    <w:rsid w:val="00B538B3"/>
    <w:rsid w:val="00B73217"/>
    <w:rsid w:val="00BA1B3F"/>
    <w:rsid w:val="00BB1904"/>
    <w:rsid w:val="00BB5C79"/>
    <w:rsid w:val="00BB7FE0"/>
    <w:rsid w:val="00BC1783"/>
    <w:rsid w:val="00BC1D69"/>
    <w:rsid w:val="00BD64A2"/>
    <w:rsid w:val="00BE1005"/>
    <w:rsid w:val="00BE3E03"/>
    <w:rsid w:val="00BE7A30"/>
    <w:rsid w:val="00BF1DE6"/>
    <w:rsid w:val="00BF3747"/>
    <w:rsid w:val="00C04751"/>
    <w:rsid w:val="00C21916"/>
    <w:rsid w:val="00C26671"/>
    <w:rsid w:val="00C3336A"/>
    <w:rsid w:val="00C37629"/>
    <w:rsid w:val="00C40053"/>
    <w:rsid w:val="00C42A83"/>
    <w:rsid w:val="00C4487F"/>
    <w:rsid w:val="00C46695"/>
    <w:rsid w:val="00C527AB"/>
    <w:rsid w:val="00C76DFB"/>
    <w:rsid w:val="00C80BCB"/>
    <w:rsid w:val="00C8132F"/>
    <w:rsid w:val="00C81F36"/>
    <w:rsid w:val="00C8208A"/>
    <w:rsid w:val="00C85788"/>
    <w:rsid w:val="00C86952"/>
    <w:rsid w:val="00C92F1D"/>
    <w:rsid w:val="00C93713"/>
    <w:rsid w:val="00CA0FC7"/>
    <w:rsid w:val="00CA2CDC"/>
    <w:rsid w:val="00CB0316"/>
    <w:rsid w:val="00CB1082"/>
    <w:rsid w:val="00CB2D7E"/>
    <w:rsid w:val="00CB6B94"/>
    <w:rsid w:val="00CD5C70"/>
    <w:rsid w:val="00CE339C"/>
    <w:rsid w:val="00CE663F"/>
    <w:rsid w:val="00CE7AF1"/>
    <w:rsid w:val="00CF00DB"/>
    <w:rsid w:val="00CF4F73"/>
    <w:rsid w:val="00CF5069"/>
    <w:rsid w:val="00CF6FAA"/>
    <w:rsid w:val="00CF7A5B"/>
    <w:rsid w:val="00D13836"/>
    <w:rsid w:val="00D14B11"/>
    <w:rsid w:val="00D2319A"/>
    <w:rsid w:val="00D37430"/>
    <w:rsid w:val="00D41852"/>
    <w:rsid w:val="00D42C31"/>
    <w:rsid w:val="00D45D58"/>
    <w:rsid w:val="00D567CC"/>
    <w:rsid w:val="00D609DD"/>
    <w:rsid w:val="00D66DA5"/>
    <w:rsid w:val="00D75851"/>
    <w:rsid w:val="00D83A20"/>
    <w:rsid w:val="00D876B4"/>
    <w:rsid w:val="00D87E3D"/>
    <w:rsid w:val="00D9066F"/>
    <w:rsid w:val="00D94332"/>
    <w:rsid w:val="00DA1DEC"/>
    <w:rsid w:val="00DB1081"/>
    <w:rsid w:val="00DB4999"/>
    <w:rsid w:val="00DC134C"/>
    <w:rsid w:val="00DC405B"/>
    <w:rsid w:val="00DD4E2E"/>
    <w:rsid w:val="00DE0D31"/>
    <w:rsid w:val="00DE566A"/>
    <w:rsid w:val="00DE781A"/>
    <w:rsid w:val="00DF38C0"/>
    <w:rsid w:val="00E0034C"/>
    <w:rsid w:val="00E01028"/>
    <w:rsid w:val="00E0200B"/>
    <w:rsid w:val="00E025F9"/>
    <w:rsid w:val="00E0355B"/>
    <w:rsid w:val="00E1047E"/>
    <w:rsid w:val="00E13283"/>
    <w:rsid w:val="00E317F8"/>
    <w:rsid w:val="00E47F17"/>
    <w:rsid w:val="00E56A9E"/>
    <w:rsid w:val="00E659E6"/>
    <w:rsid w:val="00E67084"/>
    <w:rsid w:val="00E6721D"/>
    <w:rsid w:val="00E67FE7"/>
    <w:rsid w:val="00E755C9"/>
    <w:rsid w:val="00E83567"/>
    <w:rsid w:val="00EA7C69"/>
    <w:rsid w:val="00EF2458"/>
    <w:rsid w:val="00EF41F6"/>
    <w:rsid w:val="00F00533"/>
    <w:rsid w:val="00F121F3"/>
    <w:rsid w:val="00F266D0"/>
    <w:rsid w:val="00F3098B"/>
    <w:rsid w:val="00F316FE"/>
    <w:rsid w:val="00F33A4C"/>
    <w:rsid w:val="00F34565"/>
    <w:rsid w:val="00F37167"/>
    <w:rsid w:val="00F37666"/>
    <w:rsid w:val="00F378D2"/>
    <w:rsid w:val="00F418DD"/>
    <w:rsid w:val="00F448FE"/>
    <w:rsid w:val="00F66013"/>
    <w:rsid w:val="00F73DFB"/>
    <w:rsid w:val="00F77CBE"/>
    <w:rsid w:val="00F86A9C"/>
    <w:rsid w:val="00F97C19"/>
    <w:rsid w:val="00FA0658"/>
    <w:rsid w:val="00FA55CB"/>
    <w:rsid w:val="00FB0224"/>
    <w:rsid w:val="00FB3C98"/>
    <w:rsid w:val="00FB51B0"/>
    <w:rsid w:val="00FB579B"/>
    <w:rsid w:val="00FC227D"/>
    <w:rsid w:val="00FC2586"/>
    <w:rsid w:val="00FE375A"/>
    <w:rsid w:val="00FE4A36"/>
    <w:rsid w:val="00FE68B9"/>
    <w:rsid w:val="00FE74C6"/>
    <w:rsid w:val="00FF0FED"/>
    <w:rsid w:val="00FF2EEE"/>
    <w:rsid w:val="00FF3049"/>
    <w:rsid w:val="02574437"/>
    <w:rsid w:val="0261070A"/>
    <w:rsid w:val="02A52E21"/>
    <w:rsid w:val="02B803C4"/>
    <w:rsid w:val="02E304A8"/>
    <w:rsid w:val="047F2D99"/>
    <w:rsid w:val="04D951F3"/>
    <w:rsid w:val="0539563E"/>
    <w:rsid w:val="05C67737"/>
    <w:rsid w:val="05E553C1"/>
    <w:rsid w:val="05FD2CFC"/>
    <w:rsid w:val="06357215"/>
    <w:rsid w:val="06C63381"/>
    <w:rsid w:val="06FC00CD"/>
    <w:rsid w:val="071B63D4"/>
    <w:rsid w:val="07AD4748"/>
    <w:rsid w:val="07E57854"/>
    <w:rsid w:val="08046A98"/>
    <w:rsid w:val="08E753B1"/>
    <w:rsid w:val="09275DBC"/>
    <w:rsid w:val="094C1EF9"/>
    <w:rsid w:val="095F1029"/>
    <w:rsid w:val="0A517612"/>
    <w:rsid w:val="0AB73FAD"/>
    <w:rsid w:val="0B036D01"/>
    <w:rsid w:val="0C0F7FC0"/>
    <w:rsid w:val="0C615B69"/>
    <w:rsid w:val="0C7B2438"/>
    <w:rsid w:val="0D600B04"/>
    <w:rsid w:val="0D867B6A"/>
    <w:rsid w:val="0DDE33AA"/>
    <w:rsid w:val="0FC402FB"/>
    <w:rsid w:val="0FD0094D"/>
    <w:rsid w:val="10021B5E"/>
    <w:rsid w:val="106D1C1C"/>
    <w:rsid w:val="1096539B"/>
    <w:rsid w:val="118A612A"/>
    <w:rsid w:val="11DF3FB1"/>
    <w:rsid w:val="12E11047"/>
    <w:rsid w:val="12FE1C75"/>
    <w:rsid w:val="13233A01"/>
    <w:rsid w:val="13F14EFC"/>
    <w:rsid w:val="140313E6"/>
    <w:rsid w:val="14AC2E6A"/>
    <w:rsid w:val="15546A64"/>
    <w:rsid w:val="157C1640"/>
    <w:rsid w:val="15F018F0"/>
    <w:rsid w:val="1638748C"/>
    <w:rsid w:val="16921052"/>
    <w:rsid w:val="17C84CD0"/>
    <w:rsid w:val="188734A9"/>
    <w:rsid w:val="18BB27B3"/>
    <w:rsid w:val="194434A3"/>
    <w:rsid w:val="19AA453E"/>
    <w:rsid w:val="1A414E61"/>
    <w:rsid w:val="1A7F14FD"/>
    <w:rsid w:val="1A8A0DBC"/>
    <w:rsid w:val="1AA76660"/>
    <w:rsid w:val="1AB479EF"/>
    <w:rsid w:val="1AFC6A9A"/>
    <w:rsid w:val="1B2364DA"/>
    <w:rsid w:val="1C2F4B20"/>
    <w:rsid w:val="1DAF4CAA"/>
    <w:rsid w:val="1EEC428A"/>
    <w:rsid w:val="1FC243FE"/>
    <w:rsid w:val="20395ABC"/>
    <w:rsid w:val="20A0755B"/>
    <w:rsid w:val="212654F5"/>
    <w:rsid w:val="218131F2"/>
    <w:rsid w:val="218C7702"/>
    <w:rsid w:val="21AB217C"/>
    <w:rsid w:val="22927C2B"/>
    <w:rsid w:val="22DB6B4B"/>
    <w:rsid w:val="2343067D"/>
    <w:rsid w:val="23B01456"/>
    <w:rsid w:val="23D16350"/>
    <w:rsid w:val="23F20DD7"/>
    <w:rsid w:val="24057F52"/>
    <w:rsid w:val="249B1764"/>
    <w:rsid w:val="249F7400"/>
    <w:rsid w:val="24AC6D05"/>
    <w:rsid w:val="24CA3A31"/>
    <w:rsid w:val="256E7192"/>
    <w:rsid w:val="25A107DC"/>
    <w:rsid w:val="265931E9"/>
    <w:rsid w:val="26BA0FDF"/>
    <w:rsid w:val="26C2348B"/>
    <w:rsid w:val="273E51BC"/>
    <w:rsid w:val="280B47C0"/>
    <w:rsid w:val="28145B8A"/>
    <w:rsid w:val="28B20752"/>
    <w:rsid w:val="29C93080"/>
    <w:rsid w:val="2AC31382"/>
    <w:rsid w:val="2AC71C98"/>
    <w:rsid w:val="2B650141"/>
    <w:rsid w:val="2C174586"/>
    <w:rsid w:val="2C8D1578"/>
    <w:rsid w:val="2D333A02"/>
    <w:rsid w:val="2D713318"/>
    <w:rsid w:val="2D991BCC"/>
    <w:rsid w:val="2DE40F97"/>
    <w:rsid w:val="2E184CD7"/>
    <w:rsid w:val="2E2E47A7"/>
    <w:rsid w:val="2E5020EA"/>
    <w:rsid w:val="2E521A0E"/>
    <w:rsid w:val="2F2B4C3B"/>
    <w:rsid w:val="30A25EDE"/>
    <w:rsid w:val="31823AAD"/>
    <w:rsid w:val="320A35E8"/>
    <w:rsid w:val="333E0542"/>
    <w:rsid w:val="33583017"/>
    <w:rsid w:val="343B2199"/>
    <w:rsid w:val="344E40EC"/>
    <w:rsid w:val="34E36436"/>
    <w:rsid w:val="34E56F46"/>
    <w:rsid w:val="352544E3"/>
    <w:rsid w:val="35963618"/>
    <w:rsid w:val="35AD5F9C"/>
    <w:rsid w:val="35C65EF2"/>
    <w:rsid w:val="36221A32"/>
    <w:rsid w:val="363148B7"/>
    <w:rsid w:val="364A359E"/>
    <w:rsid w:val="36586D70"/>
    <w:rsid w:val="36C6408A"/>
    <w:rsid w:val="36CB1E24"/>
    <w:rsid w:val="36F36D43"/>
    <w:rsid w:val="37594320"/>
    <w:rsid w:val="376D7913"/>
    <w:rsid w:val="37E334B0"/>
    <w:rsid w:val="37EC3586"/>
    <w:rsid w:val="38095AD2"/>
    <w:rsid w:val="38460570"/>
    <w:rsid w:val="39192536"/>
    <w:rsid w:val="39B74241"/>
    <w:rsid w:val="39D8201A"/>
    <w:rsid w:val="3A184B1B"/>
    <w:rsid w:val="3A492E02"/>
    <w:rsid w:val="3AAD6655"/>
    <w:rsid w:val="3B1917A3"/>
    <w:rsid w:val="3B9C1015"/>
    <w:rsid w:val="3BEF5219"/>
    <w:rsid w:val="3C286AAB"/>
    <w:rsid w:val="3C793F97"/>
    <w:rsid w:val="3CBF305F"/>
    <w:rsid w:val="3DBF72D5"/>
    <w:rsid w:val="3EBB70C3"/>
    <w:rsid w:val="3EF24F90"/>
    <w:rsid w:val="3EF94F1B"/>
    <w:rsid w:val="3FB90397"/>
    <w:rsid w:val="3FE53639"/>
    <w:rsid w:val="40461C32"/>
    <w:rsid w:val="40806A89"/>
    <w:rsid w:val="416C40CA"/>
    <w:rsid w:val="41775519"/>
    <w:rsid w:val="41966D58"/>
    <w:rsid w:val="41EE10B2"/>
    <w:rsid w:val="42475D9C"/>
    <w:rsid w:val="43602169"/>
    <w:rsid w:val="43CE7657"/>
    <w:rsid w:val="4436078D"/>
    <w:rsid w:val="448E0C92"/>
    <w:rsid w:val="45052318"/>
    <w:rsid w:val="45211CDC"/>
    <w:rsid w:val="45640B33"/>
    <w:rsid w:val="4588450D"/>
    <w:rsid w:val="458F5F23"/>
    <w:rsid w:val="46A20182"/>
    <w:rsid w:val="47550707"/>
    <w:rsid w:val="479B1591"/>
    <w:rsid w:val="47D22A11"/>
    <w:rsid w:val="47F73B80"/>
    <w:rsid w:val="485C47CD"/>
    <w:rsid w:val="4870423F"/>
    <w:rsid w:val="49C36851"/>
    <w:rsid w:val="4A38723F"/>
    <w:rsid w:val="4A497D71"/>
    <w:rsid w:val="4ACB2548"/>
    <w:rsid w:val="4AFC7B45"/>
    <w:rsid w:val="4B245A16"/>
    <w:rsid w:val="4BB73257"/>
    <w:rsid w:val="4CA30439"/>
    <w:rsid w:val="4D3A3410"/>
    <w:rsid w:val="4D412400"/>
    <w:rsid w:val="4D7C0E85"/>
    <w:rsid w:val="4DFF9793"/>
    <w:rsid w:val="4E1965B7"/>
    <w:rsid w:val="4E4543FA"/>
    <w:rsid w:val="4EA2120E"/>
    <w:rsid w:val="4EB96AF6"/>
    <w:rsid w:val="4EC33E78"/>
    <w:rsid w:val="4FC72E9A"/>
    <w:rsid w:val="50064C25"/>
    <w:rsid w:val="505277A6"/>
    <w:rsid w:val="50917AF2"/>
    <w:rsid w:val="50D02E2C"/>
    <w:rsid w:val="512E0203"/>
    <w:rsid w:val="51FC6285"/>
    <w:rsid w:val="51FD7DD3"/>
    <w:rsid w:val="524F5238"/>
    <w:rsid w:val="5260080F"/>
    <w:rsid w:val="52636B53"/>
    <w:rsid w:val="52872FB9"/>
    <w:rsid w:val="53621657"/>
    <w:rsid w:val="53686628"/>
    <w:rsid w:val="53825448"/>
    <w:rsid w:val="540734E4"/>
    <w:rsid w:val="54F660D4"/>
    <w:rsid w:val="56242FFC"/>
    <w:rsid w:val="56B91A79"/>
    <w:rsid w:val="5784304E"/>
    <w:rsid w:val="57ED02D4"/>
    <w:rsid w:val="58254B7B"/>
    <w:rsid w:val="584C1E00"/>
    <w:rsid w:val="58B646E4"/>
    <w:rsid w:val="58D16C77"/>
    <w:rsid w:val="58D678B9"/>
    <w:rsid w:val="59094AB3"/>
    <w:rsid w:val="59315255"/>
    <w:rsid w:val="59E66B56"/>
    <w:rsid w:val="5A236E08"/>
    <w:rsid w:val="5A6A6B22"/>
    <w:rsid w:val="5A6C6CDA"/>
    <w:rsid w:val="5A7140A7"/>
    <w:rsid w:val="5BAD13BD"/>
    <w:rsid w:val="5C2B7AAE"/>
    <w:rsid w:val="5CFE6AC8"/>
    <w:rsid w:val="5D0B7425"/>
    <w:rsid w:val="5DA3652A"/>
    <w:rsid w:val="5DAD56ED"/>
    <w:rsid w:val="5DB630C9"/>
    <w:rsid w:val="5E593199"/>
    <w:rsid w:val="5EA11465"/>
    <w:rsid w:val="5ECF4E53"/>
    <w:rsid w:val="60C87082"/>
    <w:rsid w:val="60E946AD"/>
    <w:rsid w:val="612001E9"/>
    <w:rsid w:val="6171498D"/>
    <w:rsid w:val="61F62577"/>
    <w:rsid w:val="626562A0"/>
    <w:rsid w:val="633217D3"/>
    <w:rsid w:val="63702D3A"/>
    <w:rsid w:val="641048FC"/>
    <w:rsid w:val="64590D91"/>
    <w:rsid w:val="64BE1E53"/>
    <w:rsid w:val="64C319A4"/>
    <w:rsid w:val="64E42046"/>
    <w:rsid w:val="64FF480A"/>
    <w:rsid w:val="650B422E"/>
    <w:rsid w:val="65940D04"/>
    <w:rsid w:val="65EA2FE6"/>
    <w:rsid w:val="665B32C7"/>
    <w:rsid w:val="669453CF"/>
    <w:rsid w:val="66C96C5B"/>
    <w:rsid w:val="66F06528"/>
    <w:rsid w:val="66FF0736"/>
    <w:rsid w:val="67B82324"/>
    <w:rsid w:val="68355229"/>
    <w:rsid w:val="6874002B"/>
    <w:rsid w:val="6881195A"/>
    <w:rsid w:val="68FB11A8"/>
    <w:rsid w:val="691C126D"/>
    <w:rsid w:val="69565B6F"/>
    <w:rsid w:val="695758E4"/>
    <w:rsid w:val="696E342C"/>
    <w:rsid w:val="698A0A0B"/>
    <w:rsid w:val="6A757101"/>
    <w:rsid w:val="6B3C0EC2"/>
    <w:rsid w:val="6B936CC9"/>
    <w:rsid w:val="6BDF372D"/>
    <w:rsid w:val="6C9C4126"/>
    <w:rsid w:val="6CD9327B"/>
    <w:rsid w:val="6D854964"/>
    <w:rsid w:val="6D9D0D51"/>
    <w:rsid w:val="6EB20ABF"/>
    <w:rsid w:val="6EF62017"/>
    <w:rsid w:val="6F135617"/>
    <w:rsid w:val="6F535D16"/>
    <w:rsid w:val="70237A97"/>
    <w:rsid w:val="71062E7F"/>
    <w:rsid w:val="7113427D"/>
    <w:rsid w:val="7195F3F1"/>
    <w:rsid w:val="72BD7B88"/>
    <w:rsid w:val="72E77C78"/>
    <w:rsid w:val="73406576"/>
    <w:rsid w:val="73C4160D"/>
    <w:rsid w:val="73FB4083"/>
    <w:rsid w:val="74311B75"/>
    <w:rsid w:val="74490FAD"/>
    <w:rsid w:val="74A415CC"/>
    <w:rsid w:val="7577125B"/>
    <w:rsid w:val="759F3762"/>
    <w:rsid w:val="771D33A0"/>
    <w:rsid w:val="777F3B51"/>
    <w:rsid w:val="77F33180"/>
    <w:rsid w:val="783241B1"/>
    <w:rsid w:val="784C4A8F"/>
    <w:rsid w:val="78535FF9"/>
    <w:rsid w:val="78C05BA3"/>
    <w:rsid w:val="79A73D96"/>
    <w:rsid w:val="7AE9747C"/>
    <w:rsid w:val="7B7D3A38"/>
    <w:rsid w:val="7BF02034"/>
    <w:rsid w:val="7BFC781D"/>
    <w:rsid w:val="7CCD2F68"/>
    <w:rsid w:val="7CFB171F"/>
    <w:rsid w:val="7E12129D"/>
    <w:rsid w:val="7E611CEE"/>
    <w:rsid w:val="7EC42148"/>
    <w:rsid w:val="7EE90D8C"/>
    <w:rsid w:val="7EF05A8C"/>
    <w:rsid w:val="7EF96296"/>
    <w:rsid w:val="7F477001"/>
    <w:rsid w:val="7F535E77"/>
    <w:rsid w:val="DDF62D45"/>
    <w:rsid w:val="E7CCC5E8"/>
    <w:rsid w:val="FD31C36B"/>
    <w:rsid w:val="FDF13414"/>
    <w:rsid w:val="FDF1E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link w:val="20"/>
    <w:qFormat/>
    <w:uiPriority w:val="0"/>
    <w:pPr>
      <w:ind w:firstLine="420" w:firstLineChars="200"/>
    </w:pPr>
  </w:style>
  <w:style w:type="paragraph" w:customStyle="1" w:styleId="3">
    <w:name w:val="Char Char Char Char Char Char Char Char Char1 Char"/>
    <w:basedOn w:val="1"/>
    <w:next w:val="4"/>
    <w:qFormat/>
    <w:uiPriority w:val="0"/>
    <w:pPr>
      <w:spacing w:line="360" w:lineRule="auto"/>
      <w:ind w:firstLine="200" w:firstLineChars="200"/>
    </w:pPr>
    <w:rPr>
      <w:rFonts w:hAnsi="宋体" w:cs="宋体"/>
      <w:sz w:val="24"/>
    </w:rPr>
  </w:style>
  <w:style w:type="paragraph" w:customStyle="1" w:styleId="4">
    <w:name w:val="Body Text First Indent1"/>
    <w:next w:val="1"/>
    <w:qFormat/>
    <w:uiPriority w:val="0"/>
    <w:pPr>
      <w:widowControl w:val="0"/>
      <w:spacing w:after="120"/>
      <w:ind w:firstLine="420"/>
      <w:jc w:val="both"/>
    </w:pPr>
    <w:rPr>
      <w:rFonts w:ascii="Calibri" w:hAnsi="Calibri" w:eastAsia="宋体" w:cs="Times New Roman"/>
      <w:sz w:val="21"/>
      <w:szCs w:val="22"/>
      <w:lang w:val="en-US" w:eastAsia="zh-CN" w:bidi="ar-SA"/>
    </w:rPr>
  </w:style>
  <w:style w:type="paragraph" w:styleId="5">
    <w:name w:val="Body Text Indent"/>
    <w:basedOn w:val="1"/>
    <w:next w:val="1"/>
    <w:link w:val="19"/>
    <w:qFormat/>
    <w:uiPriority w:val="99"/>
    <w:pPr>
      <w:spacing w:after="120"/>
      <w:ind w:left="420" w:leftChars="200"/>
    </w:pPr>
  </w:style>
  <w:style w:type="paragraph" w:styleId="6">
    <w:name w:val="Plain Text"/>
    <w:basedOn w:val="1"/>
    <w:link w:val="16"/>
    <w:qFormat/>
    <w:uiPriority w:val="0"/>
    <w:rPr>
      <w:rFonts w:ascii="宋体" w:hAnsi="Courier New" w:cs="Courier New"/>
      <w:szCs w:val="21"/>
    </w:rPr>
  </w:style>
  <w:style w:type="paragraph" w:styleId="7">
    <w:name w:val="Body Text Indent 2"/>
    <w:basedOn w:val="1"/>
    <w:next w:val="1"/>
    <w:qFormat/>
    <w:uiPriority w:val="0"/>
    <w:pPr>
      <w:spacing w:line="360" w:lineRule="auto"/>
      <w:ind w:firstLine="570"/>
    </w:pPr>
    <w:rPr>
      <w:kern w:val="0"/>
      <w:sz w:val="24"/>
      <w:lang w:eastAsia="en-US"/>
    </w:r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Body Text First Indent 2"/>
    <w:basedOn w:val="1"/>
    <w:next w:val="1"/>
    <w:qFormat/>
    <w:uiPriority w:val="0"/>
    <w:pPr>
      <w:spacing w:after="0"/>
      <w:ind w:firstLine="420" w:firstLineChars="200"/>
    </w:pPr>
    <w:rPr>
      <w:rFonts w:hint="eastAsia"/>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Char"/>
    <w:basedOn w:val="1"/>
    <w:qFormat/>
    <w:uiPriority w:val="0"/>
    <w:pPr>
      <w:widowControl/>
      <w:spacing w:after="160" w:line="240" w:lineRule="exact"/>
      <w:jc w:val="left"/>
    </w:pPr>
  </w:style>
  <w:style w:type="character" w:customStyle="1" w:styleId="16">
    <w:name w:val="纯文本 字符"/>
    <w:link w:val="6"/>
    <w:qFormat/>
    <w:uiPriority w:val="0"/>
    <w:rPr>
      <w:rFonts w:ascii="宋体" w:hAnsi="Courier New" w:eastAsia="宋体" w:cs="Courier New"/>
      <w:kern w:val="2"/>
      <w:sz w:val="21"/>
      <w:szCs w:val="21"/>
      <w:lang w:val="en-US" w:eastAsia="zh-CN" w:bidi="ar-SA"/>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Char4"/>
    <w:basedOn w:val="1"/>
    <w:qFormat/>
    <w:uiPriority w:val="0"/>
    <w:rPr>
      <w:color w:val="000000"/>
      <w:u w:color="000000"/>
    </w:rPr>
  </w:style>
  <w:style w:type="character" w:customStyle="1" w:styleId="19">
    <w:name w:val="正文文本缩进 字符"/>
    <w:basedOn w:val="14"/>
    <w:link w:val="5"/>
    <w:qFormat/>
    <w:uiPriority w:val="99"/>
    <w:rPr>
      <w:kern w:val="2"/>
      <w:sz w:val="21"/>
      <w:szCs w:val="24"/>
    </w:rPr>
  </w:style>
  <w:style w:type="character" w:customStyle="1" w:styleId="20">
    <w:name w:val="正文缩进 字符"/>
    <w:link w:val="2"/>
    <w:autoRedefine/>
    <w:qFormat/>
    <w:uiPriority w:val="0"/>
    <w:rPr>
      <w:kern w:val="2"/>
      <w:sz w:val="21"/>
      <w:szCs w:val="24"/>
    </w:rPr>
  </w:style>
  <w:style w:type="paragraph" w:customStyle="1" w:styleId="21">
    <w:name w:val="样式1"/>
    <w:basedOn w:val="1"/>
    <w:qFormat/>
    <w:uiPriority w:val="0"/>
    <w:pPr>
      <w:widowControl/>
      <w:kinsoku w:val="0"/>
      <w:adjustRightInd w:val="0"/>
      <w:snapToGrid w:val="0"/>
      <w:spacing w:line="360" w:lineRule="auto"/>
      <w:ind w:firstLine="1440" w:firstLineChars="200"/>
      <w:jc w:val="left"/>
      <w:textAlignment w:val="baseline"/>
    </w:pPr>
    <w:rPr>
      <w:rFonts w:hint="eastAsia" w:ascii="Times New Roman" w:hAnsi="Times New Roman"/>
      <w:snapToGrid w:val="0"/>
      <w:kern w:val="0"/>
      <w:sz w:val="24"/>
    </w:rPr>
  </w:style>
  <w:style w:type="character" w:customStyle="1" w:styleId="22">
    <w:name w:val="ca-1"/>
    <w:basedOn w:val="14"/>
    <w:qFormat/>
    <w:uiPriority w:val="0"/>
  </w:style>
  <w:style w:type="paragraph" w:customStyle="1" w:styleId="23">
    <w:name w:val="1.评估正文"/>
    <w:basedOn w:val="1"/>
    <w:qFormat/>
    <w:uiPriority w:val="0"/>
    <w:pPr>
      <w:adjustRightInd w:val="0"/>
      <w:snapToGrid w:val="0"/>
      <w:spacing w:line="360" w:lineRule="auto"/>
      <w:ind w:firstLine="56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芳向电脑工作室</Company>
  <Pages>7</Pages>
  <Words>3326</Words>
  <Characters>3573</Characters>
  <Lines>24</Lines>
  <Paragraphs>6</Paragraphs>
  <TotalTime>14</TotalTime>
  <ScaleCrop>false</ScaleCrop>
  <LinksUpToDate>false</LinksUpToDate>
  <CharactersWithSpaces>3731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2023-05-06T07:59:00Z</dcterms:created>
  <dc:creator>lenovo</dc:creator>
  <cp:lastModifiedBy>冰岩</cp:lastModifiedBy>
  <cp:lastPrinted>2025-01-10T07:41:00Z</cp:lastPrinted>
  <dcterms:modified xsi:type="dcterms:W3CDTF">2025-06-12T00:42:47Z</dcterms:modified>
  <dc:title>太环审  ﹝201 ﹞ 号</dc:title>
  <cp:revision>459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E543531A74C542198B61AB3471C8F05F_13</vt:lpwstr>
  </property>
  <property fmtid="{D5CDD505-2E9C-101B-9397-08002B2CF9AE}" pid="4" name="KSOTemplateDocerSaveRecord">
    <vt:lpwstr>eyJoZGlkIjoiYmU0MTkzZjFkZWIyZjBkN2MyZDg3NjdiODEyOTNjOTciLCJ1c2VySWQiOiI0MTA2MzI5NjkifQ==</vt:lpwstr>
  </property>
</Properties>
</file>