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68828D">
      <w:pPr>
        <w:autoSpaceDN w:val="0"/>
        <w:spacing w:before="100" w:after="100" w:line="560" w:lineRule="exact"/>
        <w:jc w:val="center"/>
        <w:rPr>
          <w:rFonts w:hint="eastAsia" w:ascii="方正楷体_GB2312" w:hAnsi="方正楷体_GB2312" w:eastAsia="方正楷体_GB2312" w:cs="方正楷体_GB2312"/>
          <w:color w:val="000000" w:themeColor="text1"/>
          <w:sz w:val="32"/>
          <w14:textFill>
            <w14:solidFill>
              <w14:schemeClr w14:val="tx1"/>
            </w14:solidFill>
          </w14:textFill>
        </w:rPr>
      </w:pPr>
    </w:p>
    <w:p w14:paraId="4E6527F3">
      <w:pPr>
        <w:autoSpaceDN w:val="0"/>
        <w:spacing w:before="100" w:after="100" w:line="560" w:lineRule="exact"/>
        <w:jc w:val="center"/>
        <w:rPr>
          <w:rFonts w:hint="eastAsia" w:ascii="仿宋_GB2312" w:hAnsi="仿宋_GB2312" w:eastAsia="仿宋_GB2312"/>
          <w:color w:val="000000" w:themeColor="text1"/>
          <w:sz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 xml:space="preserve">                                                                                             </w:t>
      </w:r>
    </w:p>
    <w:p w14:paraId="19BA6F1E">
      <w:pPr>
        <w:autoSpaceDN w:val="0"/>
        <w:spacing w:line="560" w:lineRule="exact"/>
        <w:jc w:val="center"/>
        <w:rPr>
          <w:rFonts w:hint="eastAsia" w:ascii="仿宋_GB2312" w:hAnsi="仿宋_GB2312" w:eastAsia="仿宋_GB2312"/>
          <w:color w:val="000000" w:themeColor="text1"/>
          <w14:textFill>
            <w14:solidFill>
              <w14:schemeClr w14:val="tx1"/>
            </w14:solidFill>
          </w14:textFill>
        </w:rPr>
      </w:pPr>
    </w:p>
    <w:p w14:paraId="2045A393">
      <w:pPr>
        <w:autoSpaceDN w:val="0"/>
        <w:spacing w:line="560" w:lineRule="exact"/>
        <w:jc w:val="center"/>
        <w:rPr>
          <w:rFonts w:hint="eastAsia" w:ascii="仿宋_GB2312" w:hAnsi="仿宋_GB2312" w:eastAsia="仿宋_GB2312"/>
          <w:color w:val="000000" w:themeColor="text1"/>
          <w14:textFill>
            <w14:solidFill>
              <w14:schemeClr w14:val="tx1"/>
            </w14:solidFill>
          </w14:textFill>
        </w:rPr>
      </w:pPr>
    </w:p>
    <w:p w14:paraId="2AA0F16E">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7B5AD72F">
      <w:pPr>
        <w:tabs>
          <w:tab w:val="left" w:pos="2818"/>
        </w:tabs>
        <w:autoSpaceDN w:val="0"/>
        <w:spacing w:line="560" w:lineRule="exact"/>
        <w:jc w:val="left"/>
        <w:rPr>
          <w:rFonts w:hint="eastAsia" w:ascii="仿宋_GB2312" w:hAnsi="仿宋_GB2312" w:eastAsia="仿宋_GB2312"/>
          <w:color w:val="000000" w:themeColor="text1"/>
          <w:sz w:val="24"/>
          <w14:textFill>
            <w14:solidFill>
              <w14:schemeClr w14:val="tx1"/>
            </w14:solidFill>
          </w14:textFill>
        </w:rPr>
      </w:pPr>
    </w:p>
    <w:p w14:paraId="66FE1830">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3CF2DBDA">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4BE9220C">
      <w:pPr>
        <w:autoSpaceDN w:val="0"/>
        <w:spacing w:line="560" w:lineRule="exact"/>
        <w:jc w:val="center"/>
        <w:rPr>
          <w:rFonts w:hint="eastAsia" w:ascii="仿宋_GB2312" w:hAnsi="仿宋_GB2312" w:eastAsia="仿宋_GB2312"/>
          <w:color w:val="000000" w:themeColor="text1"/>
          <w:sz w:val="32"/>
          <w14:textFill>
            <w14:solidFill>
              <w14:schemeClr w14:val="tx1"/>
            </w14:solidFill>
          </w14:textFill>
        </w:rPr>
      </w:pPr>
    </w:p>
    <w:p w14:paraId="49CBF6C2">
      <w:pPr>
        <w:spacing w:line="360" w:lineRule="auto"/>
        <w:jc w:val="center"/>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阿环审表〔2025〕</w:t>
      </w:r>
      <w:r>
        <w:rPr>
          <w:rFonts w:hint="eastAsia" w:ascii="仿宋_GB2312" w:hAnsi="宋体" w:eastAsia="仿宋_GB2312"/>
          <w:color w:val="000000" w:themeColor="text1"/>
          <w:sz w:val="32"/>
          <w:szCs w:val="32"/>
          <w:lang w:val="en-US" w:eastAsia="zh-CN"/>
          <w14:textFill>
            <w14:solidFill>
              <w14:schemeClr w14:val="tx1"/>
            </w14:solidFill>
          </w14:textFill>
        </w:rPr>
        <w:t>7</w:t>
      </w:r>
      <w:r>
        <w:rPr>
          <w:rFonts w:hint="eastAsia" w:ascii="仿宋_GB2312" w:hAnsi="宋体" w:eastAsia="仿宋_GB2312"/>
          <w:color w:val="000000" w:themeColor="text1"/>
          <w:sz w:val="32"/>
          <w:szCs w:val="32"/>
          <w14:textFill>
            <w14:solidFill>
              <w14:schemeClr w14:val="tx1"/>
            </w14:solidFill>
          </w14:textFill>
        </w:rPr>
        <w:t>号</w:t>
      </w:r>
    </w:p>
    <w:p w14:paraId="30C6467F">
      <w:pPr>
        <w:rPr>
          <w:rFonts w:hint="eastAsia" w:ascii="仿宋_GB2312" w:hAnsi="宋体" w:eastAsia="仿宋_GB2312"/>
          <w:b/>
          <w:color w:val="000000" w:themeColor="text1"/>
          <w:sz w:val="28"/>
          <w:szCs w:val="28"/>
          <w14:textFill>
            <w14:solidFill>
              <w14:schemeClr w14:val="tx1"/>
            </w14:solidFill>
          </w14:textFill>
        </w:rPr>
      </w:pPr>
    </w:p>
    <w:p w14:paraId="418B3DB2">
      <w:pPr>
        <w:spacing w:line="600" w:lineRule="exact"/>
        <w:jc w:val="center"/>
        <w:rPr>
          <w:rFonts w:hint="eastAsia" w:ascii="方正小标宋简体" w:eastAsia="方正小标宋简体" w:hAnsiTheme="majorEastAsia" w:cstheme="majorEastAsia"/>
          <w:bCs/>
          <w:color w:val="000000" w:themeColor="text1"/>
          <w:sz w:val="44"/>
          <w:szCs w:val="44"/>
          <w14:textFill>
            <w14:solidFill>
              <w14:schemeClr w14:val="tx1"/>
            </w14:solidFill>
          </w14:textFill>
        </w:rPr>
      </w:pPr>
      <w:r>
        <w:rPr>
          <w:rFonts w:hint="eastAsia" w:ascii="方正小标宋简体" w:eastAsia="方正小标宋简体" w:hAnsiTheme="majorEastAsia" w:cstheme="majorEastAsia"/>
          <w:bCs/>
          <w:color w:val="000000" w:themeColor="text1"/>
          <w:sz w:val="44"/>
          <w:szCs w:val="44"/>
          <w14:textFill>
            <w14:solidFill>
              <w14:schemeClr w14:val="tx1"/>
            </w14:solidFill>
          </w14:textFill>
        </w:rPr>
        <w:t>锡林郭勒盟生态环境局</w:t>
      </w:r>
    </w:p>
    <w:p w14:paraId="613D2B24">
      <w:pPr>
        <w:spacing w:line="600" w:lineRule="exact"/>
        <w:jc w:val="center"/>
        <w:rPr>
          <w:rFonts w:hint="eastAsia" w:ascii="方正小标宋简体" w:eastAsia="方正小标宋简体" w:hAnsiTheme="majorEastAsia" w:cstheme="majorEastAsia"/>
          <w:bCs/>
          <w:color w:val="000000" w:themeColor="text1"/>
          <w:sz w:val="44"/>
          <w:szCs w:val="44"/>
          <w:lang w:eastAsia="zh-CN"/>
          <w14:textFill>
            <w14:solidFill>
              <w14:schemeClr w14:val="tx1"/>
            </w14:solidFill>
          </w14:textFill>
        </w:rPr>
      </w:pPr>
      <w:bookmarkStart w:id="0" w:name="OLE_LINK1"/>
      <w:r>
        <w:rPr>
          <w:rFonts w:hint="eastAsia" w:ascii="方正小标宋简体" w:eastAsia="方正小标宋简体" w:hAnsiTheme="majorEastAsia" w:cstheme="majorEastAsia"/>
          <w:bCs/>
          <w:color w:val="000000" w:themeColor="text1"/>
          <w:sz w:val="44"/>
          <w:szCs w:val="44"/>
          <w14:textFill>
            <w14:solidFill>
              <w14:schemeClr w14:val="tx1"/>
            </w14:solidFill>
          </w14:textFill>
        </w:rPr>
        <w:t>关于</w:t>
      </w:r>
      <w:r>
        <w:rPr>
          <w:rFonts w:hint="eastAsia" w:ascii="方正小标宋简体" w:eastAsia="方正小标宋简体" w:hAnsiTheme="majorEastAsia" w:cstheme="majorEastAsia"/>
          <w:bCs/>
          <w:color w:val="000000" w:themeColor="text1"/>
          <w:sz w:val="44"/>
          <w:szCs w:val="44"/>
          <w:lang w:eastAsia="zh-CN"/>
          <w14:textFill>
            <w14:solidFill>
              <w14:schemeClr w14:val="tx1"/>
            </w14:solidFill>
          </w14:textFill>
        </w:rPr>
        <w:t>智汇能源（阿巴嘎旗）有限公司32万千瓦风电配套临时混凝土搅拌站项目</w:t>
      </w:r>
    </w:p>
    <w:p w14:paraId="15CA9B0D">
      <w:pPr>
        <w:spacing w:line="600" w:lineRule="exact"/>
        <w:jc w:val="center"/>
        <w:rPr>
          <w:rFonts w:hint="eastAsia" w:asciiTheme="majorEastAsia" w:hAnsiTheme="majorEastAsia" w:eastAsiaTheme="majorEastAsia" w:cstheme="majorEastAsia"/>
          <w:b/>
          <w:color w:val="000000" w:themeColor="text1"/>
          <w:sz w:val="44"/>
          <w:szCs w:val="44"/>
          <w14:textFill>
            <w14:solidFill>
              <w14:schemeClr w14:val="tx1"/>
            </w14:solidFill>
          </w14:textFill>
        </w:rPr>
      </w:pPr>
      <w:r>
        <w:rPr>
          <w:rFonts w:hint="eastAsia" w:ascii="方正小标宋简体" w:eastAsia="方正小标宋简体" w:hAnsiTheme="majorEastAsia" w:cstheme="majorEastAsia"/>
          <w:bCs/>
          <w:color w:val="000000" w:themeColor="text1"/>
          <w:sz w:val="44"/>
          <w:szCs w:val="44"/>
          <w14:textFill>
            <w14:solidFill>
              <w14:schemeClr w14:val="tx1"/>
            </w14:solidFill>
          </w14:textFill>
        </w:rPr>
        <w:t>环境影响报告表的批复</w:t>
      </w:r>
      <w:bookmarkEnd w:id="0"/>
    </w:p>
    <w:p w14:paraId="18AAFCD8">
      <w:pPr>
        <w:jc w:val="center"/>
        <w:rPr>
          <w:rFonts w:hint="eastAsia" w:ascii="仿宋_GB2312" w:hAnsi="宋体" w:eastAsia="仿宋_GB2312"/>
          <w:b/>
          <w:color w:val="000000" w:themeColor="text1"/>
          <w:sz w:val="28"/>
          <w:szCs w:val="28"/>
          <w14:textFill>
            <w14:solidFill>
              <w14:schemeClr w14:val="tx1"/>
            </w14:solidFill>
          </w14:textFill>
        </w:rPr>
      </w:pPr>
    </w:p>
    <w:p w14:paraId="72B2AA01">
      <w:pPr>
        <w:keepNext w:val="0"/>
        <w:keepLines w:val="0"/>
        <w:pageBreakBefore w:val="0"/>
        <w:widowControl w:val="0"/>
        <w:kinsoku/>
        <w:wordWrap/>
        <w:topLinePunct w:val="0"/>
        <w:bidi w:val="0"/>
        <w:spacing w:line="580" w:lineRule="exact"/>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eastAsia="zh-CN"/>
          <w14:textFill>
            <w14:solidFill>
              <w14:schemeClr w14:val="tx1"/>
            </w14:solidFill>
          </w14:textFill>
        </w:rPr>
        <w:t>智汇能源（阿巴嘎旗）有限公司</w:t>
      </w:r>
      <w:r>
        <w:rPr>
          <w:rFonts w:hint="eastAsia" w:ascii="仿宋_GB2312" w:hAnsi="宋体" w:eastAsia="仿宋_GB2312"/>
          <w:color w:val="000000" w:themeColor="text1"/>
          <w:sz w:val="32"/>
          <w:szCs w:val="32"/>
          <w14:textFill>
            <w14:solidFill>
              <w14:schemeClr w14:val="tx1"/>
            </w14:solidFill>
          </w14:textFill>
        </w:rPr>
        <w:t>：</w:t>
      </w:r>
    </w:p>
    <w:p w14:paraId="4B30E9C4">
      <w:pPr>
        <w:keepNext w:val="0"/>
        <w:keepLines w:val="0"/>
        <w:pageBreakBefore w:val="0"/>
        <w:widowControl w:val="0"/>
        <w:kinsoku/>
        <w:wordWrap/>
        <w:topLinePunct w:val="0"/>
        <w:bidi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你单位报送的由</w:t>
      </w:r>
      <w:r>
        <w:rPr>
          <w:rFonts w:hint="eastAsia" w:ascii="仿宋_GB2312" w:hAnsi="宋体" w:eastAsia="仿宋_GB2312"/>
          <w:color w:val="000000" w:themeColor="text1"/>
          <w:sz w:val="32"/>
          <w:szCs w:val="32"/>
          <w:lang w:eastAsia="zh-CN"/>
          <w14:textFill>
            <w14:solidFill>
              <w14:schemeClr w14:val="tx1"/>
            </w14:solidFill>
          </w14:textFill>
        </w:rPr>
        <w:t>锡林郭勒盟格林蓝环境科技有限公司</w:t>
      </w:r>
      <w:r>
        <w:rPr>
          <w:rFonts w:hint="eastAsia" w:ascii="仿宋_GB2312" w:hAnsi="宋体" w:eastAsia="仿宋_GB2312"/>
          <w:color w:val="000000" w:themeColor="text1"/>
          <w:sz w:val="32"/>
          <w:szCs w:val="32"/>
          <w14:textFill>
            <w14:solidFill>
              <w14:schemeClr w14:val="tx1"/>
            </w14:solidFill>
          </w14:textFill>
        </w:rPr>
        <w:t>，</w:t>
      </w:r>
      <w:r>
        <w:rPr>
          <w:rFonts w:hint="eastAsia" w:ascii="仿宋_GB2312" w:hAnsi="宋体" w:eastAsia="仿宋_GB2312"/>
          <w:color w:val="000000" w:themeColor="text1"/>
          <w:sz w:val="32"/>
          <w:szCs w:val="32"/>
          <w:lang w:val="en-US" w:eastAsia="zh-CN"/>
          <w14:textFill>
            <w14:solidFill>
              <w14:schemeClr w14:val="tx1"/>
            </w14:solidFill>
          </w14:textFill>
        </w:rPr>
        <w:t>解兴词</w:t>
      </w:r>
      <w:r>
        <w:rPr>
          <w:rFonts w:hint="eastAsia" w:ascii="仿宋_GB2312" w:hAnsi="宋体" w:eastAsia="仿宋_GB2312"/>
          <w:color w:val="000000" w:themeColor="text1"/>
          <w:sz w:val="32"/>
          <w:szCs w:val="32"/>
          <w14:textFill>
            <w14:solidFill>
              <w14:schemeClr w14:val="tx1"/>
            </w14:solidFill>
          </w14:textFill>
        </w:rPr>
        <w:t>主持编制的《</w:t>
      </w:r>
      <w:r>
        <w:rPr>
          <w:rFonts w:hint="eastAsia" w:ascii="仿宋_GB2312" w:hAnsi="宋体" w:eastAsia="仿宋_GB2312"/>
          <w:color w:val="000000" w:themeColor="text1"/>
          <w:sz w:val="32"/>
          <w:szCs w:val="32"/>
          <w:lang w:eastAsia="zh-CN"/>
          <w14:textFill>
            <w14:solidFill>
              <w14:schemeClr w14:val="tx1"/>
            </w14:solidFill>
          </w14:textFill>
        </w:rPr>
        <w:t>智汇能源（阿巴嘎旗）有限公司32万千瓦风电配套临时混凝土搅拌站项目</w:t>
      </w:r>
      <w:r>
        <w:rPr>
          <w:rFonts w:hint="eastAsia" w:ascii="仿宋_GB2312" w:hAnsi="宋体" w:eastAsia="仿宋_GB2312"/>
          <w:color w:val="000000" w:themeColor="text1"/>
          <w:sz w:val="32"/>
          <w:szCs w:val="32"/>
          <w14:textFill>
            <w14:solidFill>
              <w14:schemeClr w14:val="tx1"/>
            </w14:solidFill>
          </w14:textFill>
        </w:rPr>
        <w:t>环境影响报告表》（以下简称《报告表》）收悉，现批复如下：</w:t>
      </w:r>
    </w:p>
    <w:p w14:paraId="15707481">
      <w:pPr>
        <w:keepNext w:val="0"/>
        <w:keepLines w:val="0"/>
        <w:pageBreakBefore w:val="0"/>
        <w:widowControl w:val="0"/>
        <w:kinsoku/>
        <w:wordWrap/>
        <w:topLinePunct w:val="0"/>
        <w:bidi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p>
    <w:p w14:paraId="2E84D25B">
      <w:pPr>
        <w:keepNext w:val="0"/>
        <w:keepLines w:val="0"/>
        <w:pageBreakBefore w:val="0"/>
        <w:widowControl w:val="0"/>
        <w:numPr>
          <w:ilvl w:val="0"/>
          <w:numId w:val="1"/>
        </w:numPr>
        <w:kinsoku/>
        <w:wordWrap/>
        <w:topLinePunct w:val="0"/>
        <w:bidi w:val="0"/>
        <w:spacing w:line="58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建设项目基本情况</w:t>
      </w:r>
    </w:p>
    <w:p w14:paraId="0CDDDD3B">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智汇能源（阿巴嘎旗）有限公司拟投资265万元在内蒙古自治区锡林郭勒盟阿巴嘎旗查干淖尔镇查干淖尔嘎查境内建设智汇能源（阿巴嘎旗）有限公司32万千瓦风电配套临时混凝土搅拌站项目，厂址中心坐标：E114°48′33.667″，N43°36′51.464″。主要建设内容为：新建混凝土混凝土生产线2条，混凝土生产规模为51200方。总规划用地面积13726.12m</w:t>
      </w:r>
      <w:r>
        <w:rPr>
          <w:rFonts w:hint="eastAsia" w:ascii="仿宋_GB2312" w:eastAsia="仿宋_GB2312"/>
          <w:color w:val="000000" w:themeColor="text1"/>
          <w:sz w:val="32"/>
          <w:szCs w:val="32"/>
          <w:vertAlign w:val="superscript"/>
          <w:lang w:eastAsia="zh-CN"/>
          <w14:textFill>
            <w14:solidFill>
              <w14:schemeClr w14:val="tx1"/>
            </w14:solidFill>
          </w14:textFill>
        </w:rPr>
        <w:t>2</w:t>
      </w:r>
      <w:r>
        <w:rPr>
          <w:rFonts w:hint="eastAsia" w:ascii="仿宋_GB2312" w:eastAsia="仿宋_GB2312"/>
          <w:color w:val="000000" w:themeColor="text1"/>
          <w:sz w:val="32"/>
          <w:szCs w:val="32"/>
          <w:lang w:eastAsia="zh-CN"/>
          <w14:textFill>
            <w14:solidFill>
              <w14:schemeClr w14:val="tx1"/>
            </w14:solidFill>
          </w14:textFill>
        </w:rPr>
        <w:t>。项目总投265万元，其中环保投资21万元，环保投资占总投资的7.9%。</w:t>
      </w:r>
    </w:p>
    <w:p w14:paraId="420D3802">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eastAsia="仿宋_GB2312"/>
          <w:color w:val="000000" w:themeColor="text1"/>
          <w:sz w:val="32"/>
          <w:szCs w:val="32"/>
          <w:lang w:eastAsia="zh-CN"/>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根据中华人民共和国国家发展和改革委员会令第7号《产业结构调整指导目录》（2024年本），</w:t>
      </w:r>
      <w:r>
        <w:rPr>
          <w:rFonts w:hint="eastAsia" w:ascii="仿宋_GB2312" w:eastAsia="仿宋_GB2312"/>
          <w:color w:val="000000" w:themeColor="text1"/>
          <w:sz w:val="32"/>
          <w:szCs w:val="32"/>
          <w:lang w:val="en-US" w:eastAsia="zh-CN"/>
          <w14:textFill>
            <w14:solidFill>
              <w14:schemeClr w14:val="tx1"/>
            </w14:solidFill>
          </w14:textFill>
        </w:rPr>
        <w:t>该</w:t>
      </w:r>
      <w:r>
        <w:rPr>
          <w:rFonts w:hint="eastAsia" w:ascii="仿宋_GB2312" w:eastAsia="仿宋_GB2312"/>
          <w:color w:val="000000" w:themeColor="text1"/>
          <w:sz w:val="32"/>
          <w:szCs w:val="32"/>
          <w:lang w:eastAsia="zh-CN"/>
          <w14:textFill>
            <w14:solidFill>
              <w14:schemeClr w14:val="tx1"/>
            </w14:solidFill>
          </w14:textFill>
        </w:rPr>
        <w:t>项目不属于《产业结构调整指导目录（2024年本）》中鼓励类、限制类、淘汰类，属于允许建设项目，符合国家产业政策，符合地方产业政策，且符合我盟“三线一单”管控要求及国家相关法律法规政策。</w:t>
      </w:r>
    </w:p>
    <w:p w14:paraId="10CE4A30">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eastAsia="zh-CN"/>
          <w14:textFill>
            <w14:solidFill>
              <w14:schemeClr w14:val="tx1"/>
            </w14:solidFill>
          </w14:textFill>
        </w:rPr>
        <w:t>在全面落实《报告表》提出的各项污染防治措施后，可使环境污染和生态破坏控制在允许范围内，从生态环境保护角度分析，该项目建设可行。</w:t>
      </w:r>
    </w:p>
    <w:p w14:paraId="5500C51D">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二、项目在设计、建设和运营过程中应做好以下工作：</w:t>
      </w:r>
    </w:p>
    <w:p w14:paraId="1996D3C9">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（一）大气污染防治</w:t>
      </w:r>
    </w:p>
    <w:p w14:paraId="2D8701F7">
      <w:pPr>
        <w:pStyle w:val="7"/>
        <w:keepNext w:val="0"/>
        <w:keepLines w:val="0"/>
        <w:pageBreakBefore w:val="0"/>
        <w:widowControl w:val="0"/>
        <w:kinsoku/>
        <w:wordWrap/>
        <w:topLinePunct w:val="0"/>
        <w:bidi w:val="0"/>
        <w:spacing w:line="580" w:lineRule="exact"/>
        <w:textAlignment w:val="auto"/>
        <w:rPr>
          <w:rFonts w:hint="eastAsia" w:ascii="Times New Roman" w:hAnsi="Times New Roman" w:eastAsia="仿宋_GB2312"/>
          <w:sz w:val="32"/>
          <w:szCs w:val="32"/>
          <w:lang w:eastAsia="zh-CN"/>
        </w:rPr>
      </w:pPr>
      <w:r>
        <w:rPr>
          <w:rFonts w:hint="eastAsia" w:ascii="仿宋_GB2312" w:hAnsi="宋体" w:eastAsia="仿宋_GB2312"/>
          <w:b/>
          <w:bCs/>
          <w:color w:val="000000" w:themeColor="text1"/>
          <w:sz w:val="32"/>
          <w:szCs w:val="32"/>
          <w14:textFill>
            <w14:solidFill>
              <w14:schemeClr w14:val="tx1"/>
            </w14:solidFill>
          </w14:textFill>
        </w:rPr>
        <w:t>1.施工期大气污染防治措施。</w:t>
      </w:r>
      <w:r>
        <w:rPr>
          <w:rFonts w:hint="eastAsia" w:ascii="Times New Roman" w:hAnsi="Times New Roman" w:eastAsia="仿宋_GB2312"/>
          <w:sz w:val="32"/>
          <w:szCs w:val="32"/>
        </w:rPr>
        <w:t>厂区施工区域洒水抑尘，限制车速，采用施工围挡，避免在大风天气进行水泥、黄沙等的装卸作业，，运输水泥、土方、施工垃圾等易扬尘物品车辆要严密苫盖，工地内部铺洒水草袋防尘，车厢覆盖帆布防尘，合理规划施工时间和施工程序，对水泥类物资</w:t>
      </w:r>
      <w:r>
        <w:rPr>
          <w:rFonts w:hint="eastAsia" w:ascii="Times New Roman" w:hAnsi="Times New Roman" w:eastAsia="仿宋_GB2312"/>
          <w:sz w:val="32"/>
          <w:szCs w:val="32"/>
          <w:lang w:val="en-US" w:eastAsia="zh-CN"/>
        </w:rPr>
        <w:t>严禁</w:t>
      </w:r>
      <w:r>
        <w:rPr>
          <w:rFonts w:hint="eastAsia" w:ascii="Times New Roman" w:hAnsi="Times New Roman" w:eastAsia="仿宋_GB2312"/>
          <w:sz w:val="32"/>
          <w:szCs w:val="32"/>
        </w:rPr>
        <w:t>露天堆放</w:t>
      </w:r>
      <w:r>
        <w:rPr>
          <w:rFonts w:hint="eastAsia" w:ascii="Times New Roman" w:hAnsi="Times New Roman" w:eastAsia="仿宋_GB2312"/>
          <w:sz w:val="32"/>
          <w:szCs w:val="32"/>
          <w:lang w:eastAsia="zh-CN"/>
        </w:rPr>
        <w:t>。</w:t>
      </w:r>
    </w:p>
    <w:p w14:paraId="1C917618">
      <w:pPr>
        <w:pStyle w:val="11"/>
        <w:keepNext w:val="0"/>
        <w:keepLines w:val="0"/>
        <w:pageBreakBefore w:val="0"/>
        <w:widowControl w:val="0"/>
        <w:kinsoku/>
        <w:wordWrap/>
        <w:topLinePunct w:val="0"/>
        <w:bidi w:val="0"/>
        <w:spacing w:line="580" w:lineRule="exact"/>
        <w:ind w:left="0" w:leftChars="0" w:firstLine="640"/>
        <w:textAlignment w:val="auto"/>
        <w:rPr>
          <w:rFonts w:hint="default" w:ascii="仿宋_GB2312" w:eastAsia="仿宋_GB2312"/>
          <w:color w:val="000000" w:themeColor="text1"/>
          <w:sz w:val="32"/>
          <w:szCs w:val="32"/>
          <w14:textFill>
            <w14:solidFill>
              <w14:schemeClr w14:val="tx1"/>
            </w14:solidFill>
          </w14:textFill>
        </w:rPr>
      </w:pPr>
      <w:r>
        <w:rPr>
          <w:rFonts w:ascii="仿宋_GB2312" w:hAnsi="宋体" w:eastAsia="仿宋_GB2312"/>
          <w:b/>
          <w:bCs/>
          <w:color w:val="000000" w:themeColor="text1"/>
          <w:sz w:val="32"/>
          <w:szCs w:val="32"/>
          <w14:textFill>
            <w14:solidFill>
              <w14:schemeClr w14:val="tx1"/>
            </w14:solidFill>
          </w14:textFill>
        </w:rPr>
        <w:t>2.项目运营期大气污染防治措施。</w:t>
      </w:r>
      <w:r>
        <w:rPr>
          <w:rFonts w:hint="eastAsia" w:ascii="仿宋_GB2312" w:eastAsia="仿宋_GB2312"/>
          <w:color w:val="000000" w:themeColor="text1"/>
          <w:sz w:val="32"/>
          <w:szCs w:val="32"/>
          <w14:textFill>
            <w14:solidFill>
              <w14:schemeClr w14:val="tx1"/>
            </w14:solidFill>
          </w14:textFill>
        </w:rPr>
        <w:t>原料贮存粉尘：采取全封闭储料棚并使用雾炮机定期洒水抑尘。上料粉尘：配料仓上方为半封闭结构，三面围挡，仅留一侧上料口。物料输送储存粉尘：输送过程采用封闭式输送皮带，水泥、粉煤灰等粉料由筒仓输送至搅拌机过程采用密闭管道输送，储存粉尘主要由水泥、粉煤灰筒仓产生，项目水泥、粉煤灰筒仓仓顶呼吸孔均配套除尘器，每个筒仓经高效除尘滤芯净化后仓顶排放。搅拌粉尘：搅拌机上方呼吸口设袋式除尘器，且位于全封闭搅拌楼内。运输扬尘：配备洒水车每天两次洒水抑尘，砂石运输车辆严密遮盖，粉料采用密封罐车运输。备用发电机燃油尾气：发电机房设置排风扇，经引风排出后在空气中稀释扩散。</w:t>
      </w:r>
    </w:p>
    <w:p w14:paraId="136C43F9">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（二）水污染防治</w:t>
      </w:r>
    </w:p>
    <w:p w14:paraId="3CE0F265">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3" w:firstLineChars="200"/>
        <w:textAlignment w:val="auto"/>
        <w:rPr>
          <w:rFonts w:hint="eastAsia" w:ascii="仿宋_GB2312" w:hAnsi="Times New Roman" w:eastAsia="仿宋_GB2312"/>
          <w:color w:val="000000" w:themeColor="text1"/>
          <w:sz w:val="32"/>
          <w:szCs w:val="32"/>
          <w:lang w:eastAsia="zh-CN" w:bidi="ar"/>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1.施工期废水污染防治措施。</w:t>
      </w:r>
      <w:r>
        <w:rPr>
          <w:rFonts w:hint="eastAsia" w:ascii="仿宋_GB2312" w:hAnsi="Times New Roman" w:eastAsia="仿宋_GB2312"/>
          <w:color w:val="000000" w:themeColor="text1"/>
          <w:sz w:val="32"/>
          <w:szCs w:val="32"/>
          <w:lang w:bidi="ar"/>
          <w14:textFill>
            <w14:solidFill>
              <w14:schemeClr w14:val="tx1"/>
            </w14:solidFill>
          </w14:textFill>
        </w:rPr>
        <w:t>生活污水经防渗化粪池处理后定期拉运，不外排；运输车辆清洗废水，经沉淀池收集后回用，不外排</w:t>
      </w:r>
      <w:r>
        <w:rPr>
          <w:rFonts w:hint="eastAsia" w:ascii="仿宋_GB2312" w:hAnsi="Times New Roman" w:eastAsia="仿宋_GB2312"/>
          <w:color w:val="000000" w:themeColor="text1"/>
          <w:sz w:val="32"/>
          <w:szCs w:val="32"/>
          <w:lang w:eastAsia="zh-CN" w:bidi="ar"/>
          <w14:textFill>
            <w14:solidFill>
              <w14:schemeClr w14:val="tx1"/>
            </w14:solidFill>
          </w14:textFill>
        </w:rPr>
        <w:t>。</w:t>
      </w:r>
    </w:p>
    <w:p w14:paraId="70E1A51B">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3"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2.运营期废水污染防治措施。</w:t>
      </w:r>
      <w:r>
        <w:rPr>
          <w:rFonts w:hint="eastAsia" w:ascii="仿宋_GB2312" w:hAnsi="宋体" w:eastAsia="仿宋_GB2312"/>
          <w:color w:val="000000" w:themeColor="text1"/>
          <w:sz w:val="32"/>
          <w:szCs w:val="32"/>
          <w14:textFill>
            <w14:solidFill>
              <w14:schemeClr w14:val="tx1"/>
            </w14:solidFill>
          </w14:textFill>
        </w:rPr>
        <w:t>生活污水经防渗化粪池处理后定期拉运，不外排。生产废水经砂石分离机和三级沉淀池处理后回用于生产，不外排。</w:t>
      </w:r>
    </w:p>
    <w:p w14:paraId="1B87FC6A">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（三）噪声污染防治</w:t>
      </w:r>
    </w:p>
    <w:p w14:paraId="1EDC6CEE">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3"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1.施工期噪声防治措施。</w:t>
      </w:r>
      <w:r>
        <w:rPr>
          <w:rFonts w:hint="eastAsia" w:ascii="仿宋_GB2312" w:hAnsi="宋体" w:eastAsia="仿宋_GB2312"/>
          <w:color w:val="000000" w:themeColor="text1"/>
          <w:sz w:val="32"/>
          <w:szCs w:val="32"/>
          <w14:textFill>
            <w14:solidFill>
              <w14:schemeClr w14:val="tx1"/>
            </w14:solidFill>
          </w14:textFill>
        </w:rPr>
        <w:t>施工现场合理布局，施工建设时防止互相撞击噪声，合理安排作业时间，及时保养维修施工机械，严格按照操作规程使用各类机械，在施工厂界周围设置围挡。</w:t>
      </w:r>
    </w:p>
    <w:p w14:paraId="094BA867">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3" w:firstLineChars="200"/>
        <w:textAlignment w:val="auto"/>
        <w:rPr>
          <w:rFonts w:hint="eastAsia" w:ascii="仿宋_GB2312" w:hAnsi="宋体" w:eastAsia="仿宋_GB2312"/>
          <w:b/>
          <w:bCs/>
          <w:color w:val="000000" w:themeColor="text1"/>
          <w:sz w:val="32"/>
          <w:szCs w:val="32"/>
          <w:lang w:eastAsia="zh-CN"/>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2.运营期噪声防治措施。</w:t>
      </w:r>
      <w:r>
        <w:rPr>
          <w:rFonts w:hint="eastAsia" w:ascii="仿宋_GB2312" w:eastAsia="仿宋_GB2312"/>
          <w:color w:val="000000" w:themeColor="text1"/>
          <w:sz w:val="32"/>
          <w:szCs w:val="32"/>
          <w14:textFill>
            <w14:solidFill>
              <w14:schemeClr w14:val="tx1"/>
            </w14:solidFill>
          </w14:textFill>
        </w:rPr>
        <w:t>加强管理</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合理布局厂区，在机械设备的基础和地面接处设隔震或减震装置或防震结构，正确合理的使用设备，建立设备定期维护、保养的管理制度，加强厂区内交通管理，运输车辆限制车速、减少车辆鸣笛</w:t>
      </w:r>
      <w:r>
        <w:rPr>
          <w:rFonts w:hint="eastAsia" w:ascii="仿宋_GB2312" w:eastAsia="仿宋_GB2312"/>
          <w:color w:val="000000" w:themeColor="text1"/>
          <w:sz w:val="32"/>
          <w:szCs w:val="32"/>
          <w:lang w:eastAsia="zh-CN"/>
          <w14:textFill>
            <w14:solidFill>
              <w14:schemeClr w14:val="tx1"/>
            </w14:solidFill>
          </w14:textFill>
        </w:rPr>
        <w:t>。</w:t>
      </w:r>
    </w:p>
    <w:p w14:paraId="368824E6">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方正楷体_GB2312" w:hAnsi="楷体" w:eastAsia="方正楷体_GB2312" w:cs="楷体"/>
          <w:color w:val="000000" w:themeColor="text1"/>
          <w:sz w:val="32"/>
          <w:szCs w:val="32"/>
          <w14:textFill>
            <w14:solidFill>
              <w14:schemeClr w14:val="tx1"/>
            </w14:solidFill>
          </w14:textFill>
        </w:rPr>
      </w:pPr>
      <w:r>
        <w:rPr>
          <w:rFonts w:hint="eastAsia" w:ascii="方正楷体_GB2312" w:hAnsi="楷体" w:eastAsia="方正楷体_GB2312" w:cs="楷体"/>
          <w:color w:val="000000" w:themeColor="text1"/>
          <w:sz w:val="32"/>
          <w:szCs w:val="32"/>
          <w14:textFill>
            <w14:solidFill>
              <w14:schemeClr w14:val="tx1"/>
            </w14:solidFill>
          </w14:textFill>
        </w:rPr>
        <w:t>（四）固体废物处理及处置</w:t>
      </w:r>
    </w:p>
    <w:p w14:paraId="1FFC6F36">
      <w:pPr>
        <w:keepNext w:val="0"/>
        <w:keepLines w:val="0"/>
        <w:pageBreakBefore w:val="0"/>
        <w:widowControl w:val="0"/>
        <w:kinsoku/>
        <w:wordWrap/>
        <w:topLinePunct w:val="0"/>
        <w:bidi w:val="0"/>
        <w:spacing w:line="580" w:lineRule="exact"/>
        <w:ind w:firstLine="643" w:firstLineChars="200"/>
        <w:textAlignment w:val="auto"/>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宋体" w:eastAsia="仿宋_GB2312"/>
          <w:b/>
          <w:bCs/>
          <w:color w:val="000000" w:themeColor="text1"/>
          <w:sz w:val="32"/>
          <w:szCs w:val="32"/>
          <w14:textFill>
            <w14:solidFill>
              <w14:schemeClr w14:val="tx1"/>
            </w14:solidFill>
          </w14:textFill>
        </w:rPr>
        <w:t>1.施工期固体废物防治措施</w:t>
      </w:r>
      <w:r>
        <w:rPr>
          <w:rFonts w:hint="eastAsia" w:ascii="仿宋_GB2312" w:hAnsi="宋体" w:eastAsia="仿宋_GB2312"/>
          <w:b/>
          <w:bCs/>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14:textFill>
            <w14:solidFill>
              <w14:schemeClr w14:val="tx1"/>
            </w14:solidFill>
          </w14:textFill>
        </w:rPr>
        <w:t>项目施工过程中产生的建筑垃圾可回收利用部分交废物收购站处理，不可回收利用的土砂石部分回填于项目区的道路及低洼场地，施工人员的生活垃圾经垃圾桶收集后拉运至当地环卫部门指定地点处理。</w:t>
      </w:r>
    </w:p>
    <w:p w14:paraId="2DE99BDC">
      <w:pPr>
        <w:pStyle w:val="23"/>
        <w:keepNext w:val="0"/>
        <w:keepLines w:val="0"/>
        <w:pageBreakBefore w:val="0"/>
        <w:widowControl w:val="0"/>
        <w:kinsoku/>
        <w:wordWrap/>
        <w:topLinePunct w:val="0"/>
        <w:bidi w:val="0"/>
        <w:spacing w:line="580" w:lineRule="exac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 w:eastAsia="仿宋_GB2312" w:cs="仿宋"/>
          <w:b/>
          <w:bCs/>
          <w:color w:val="000000" w:themeColor="text1"/>
          <w:sz w:val="32"/>
          <w:szCs w:val="32"/>
          <w14:textFill>
            <w14:solidFill>
              <w14:schemeClr w14:val="tx1"/>
            </w14:solidFill>
          </w14:textFill>
        </w:rPr>
        <w:t>2.</w:t>
      </w:r>
      <w:r>
        <w:rPr>
          <w:rFonts w:hint="eastAsia" w:ascii="仿宋_GB2312" w:hAnsi="Times New Roman" w:eastAsia="仿宋_GB2312"/>
          <w:b/>
          <w:bCs/>
          <w:color w:val="000000" w:themeColor="text1"/>
          <w:sz w:val="32"/>
          <w:szCs w:val="32"/>
          <w14:textFill>
            <w14:solidFill>
              <w14:schemeClr w14:val="tx1"/>
            </w14:solidFill>
          </w14:textFill>
        </w:rPr>
        <w:t>运营期固体废物防治措施。</w:t>
      </w:r>
      <w:r>
        <w:rPr>
          <w:rFonts w:hint="eastAsia" w:ascii="仿宋_GB2312" w:hAnsi="Times New Roman" w:eastAsia="仿宋_GB2312"/>
          <w:color w:val="000000" w:themeColor="text1"/>
          <w:sz w:val="32"/>
          <w:szCs w:val="32"/>
          <w14:textFill>
            <w14:solidFill>
              <w14:schemeClr w14:val="tx1"/>
            </w14:solidFill>
          </w14:textFill>
        </w:rPr>
        <w:t>项目生活垃圾委托当地环卫部门进行清运、处置；运输车辆清洗废水经沉淀池处理后产生泥浆，泥浆暂存于在沉淀池内，沉淀的泥浆经砂石分离机分离后回用于生产；除尘灰经收集后回用于生产；混凝土废试块，作为项目施工建筑填方材料外运处理；不合格产品（废混凝土），作为项目施工建筑填方材料外运处理。</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运营过程中车辆依托查干淖尔镇车辆修理厂定期维护检修，产生的废机油由修理厂委托有资质单位回收处置，不在项目区暂存。</w:t>
      </w:r>
    </w:p>
    <w:p w14:paraId="059CEE7F">
      <w:pPr>
        <w:pStyle w:val="23"/>
        <w:keepNext w:val="0"/>
        <w:keepLines w:val="0"/>
        <w:pageBreakBefore w:val="0"/>
        <w:widowControl w:val="0"/>
        <w:kinsoku/>
        <w:wordWrap/>
        <w:topLinePunct w:val="0"/>
        <w:bidi w:val="0"/>
        <w:spacing w:line="580" w:lineRule="exact"/>
        <w:textAlignment w:val="auto"/>
        <w:rPr>
          <w:rFonts w:hint="eastAsia" w:ascii="Times New Roman" w:hAnsi="Times New Roman" w:eastAsia="仿宋_GB2312"/>
          <w:sz w:val="32"/>
          <w:szCs w:val="32"/>
          <w:lang w:eastAsia="zh-CN"/>
        </w:rPr>
      </w:pPr>
      <w:r>
        <w:rPr>
          <w:rFonts w:hint="eastAsia" w:ascii="方正楷体_GB2312" w:hAnsi="楷体" w:eastAsia="方正楷体_GB2312" w:cs="楷体"/>
          <w:color w:val="000000" w:themeColor="text1"/>
          <w:sz w:val="32"/>
          <w:szCs w:val="32"/>
          <w:lang w:eastAsia="zh-CN"/>
          <w14:textFill>
            <w14:solidFill>
              <w14:schemeClr w14:val="tx1"/>
            </w14:solidFill>
          </w14:textFill>
        </w:rPr>
        <w:t>（五）</w:t>
      </w:r>
      <w:r>
        <w:rPr>
          <w:rFonts w:hint="eastAsia" w:ascii="方正楷体_GB2312" w:hAnsi="楷体" w:eastAsia="方正楷体_GB2312" w:cs="楷体"/>
          <w:color w:val="000000" w:themeColor="text1"/>
          <w:sz w:val="32"/>
          <w:szCs w:val="32"/>
          <w:lang w:val="en-US" w:eastAsia="zh-CN"/>
          <w14:textFill>
            <w14:solidFill>
              <w14:schemeClr w14:val="tx1"/>
            </w14:solidFill>
          </w14:textFill>
        </w:rPr>
        <w:t>土壤、地下水</w:t>
      </w:r>
      <w:r>
        <w:rPr>
          <w:rFonts w:hint="eastAsia" w:ascii="方正楷体_GB2312" w:hAnsi="楷体" w:eastAsia="方正楷体_GB2312" w:cs="楷体"/>
          <w:color w:val="000000" w:themeColor="text1"/>
          <w:sz w:val="32"/>
          <w:szCs w:val="32"/>
          <w:lang w:eastAsia="zh-CN"/>
          <w14:textFill>
            <w14:solidFill>
              <w14:schemeClr w14:val="tx1"/>
            </w14:solidFill>
          </w14:textFill>
        </w:rPr>
        <w:t>保护措施。</w:t>
      </w:r>
      <w:r>
        <w:rPr>
          <w:rFonts w:hint="eastAsia" w:ascii="Times New Roman" w:hAnsi="Times New Roman" w:eastAsia="仿宋_GB2312"/>
          <w:sz w:val="32"/>
          <w:szCs w:val="32"/>
          <w:lang w:eastAsia="zh-CN"/>
        </w:rPr>
        <w:t>砂石料、工业和生活固体废物分区堆存，设置苫布覆盖，防止雨水侵蚀；危废暂存间、防渗化粪池采取防渗措施，并设置围堰，切断影响途径。</w:t>
      </w:r>
    </w:p>
    <w:p w14:paraId="3027E394">
      <w:pPr>
        <w:pStyle w:val="23"/>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eastAsia" w:ascii="Times New Roman" w:hAnsi="Times New Roman" w:eastAsia="仿宋_GB2312" w:cs="Times New Roman"/>
          <w:kern w:val="0"/>
          <w:sz w:val="32"/>
          <w:szCs w:val="32"/>
          <w:lang w:val="en-US" w:eastAsia="zh-CN" w:bidi="ar-SA"/>
        </w:rPr>
      </w:pPr>
      <w:r>
        <w:rPr>
          <w:rFonts w:hint="eastAsia" w:ascii="方正楷体_GB2312" w:hAnsi="楷体" w:eastAsia="方正楷体_GB2312" w:cs="楷体"/>
          <w:color w:val="000000" w:themeColor="text1"/>
          <w:kern w:val="0"/>
          <w:sz w:val="32"/>
          <w:szCs w:val="32"/>
          <w:lang w:val="en-US" w:eastAsia="zh-CN" w:bidi="ar-SA"/>
          <w14:textFill>
            <w14:solidFill>
              <w14:schemeClr w14:val="tx1"/>
            </w14:solidFill>
          </w14:textFill>
        </w:rPr>
        <w:t>（六）生态保护措施。</w:t>
      </w:r>
      <w:r>
        <w:rPr>
          <w:rFonts w:hint="eastAsia" w:ascii="Times New Roman" w:hAnsi="Times New Roman" w:eastAsia="仿宋_GB2312" w:cs="Times New Roman"/>
          <w:kern w:val="0"/>
          <w:sz w:val="32"/>
          <w:szCs w:val="32"/>
          <w:lang w:val="en-US" w:eastAsia="zh-CN" w:bidi="ar-SA"/>
        </w:rPr>
        <w:t>严格落实项目运营期相应的环保措施，减小运营期废气颗粒物对项目周边草原的影响。进场砂石材料运输车辆采取苫盖措施，砂石料采取全封闭储料库贮存，粉料筒仓、搅拌机组等配套除尘器措施；项目厂界范围设置围挡；生产过程中严格落实环评要求的固废、废水、噪声污染防治、处置措施；禁止运输车辆随意碾压征地范围外土地；项目服务期满后即刻对厂区内生产设备进行拆除，对场地进行覆土、撒播草籽等措施进行植被恢复；对储料棚采取清理、翻耕和撒播草籽等措施进行植被恢复；对道路采取清理、翻耕和撒播草籽等措施进行植被恢复。</w:t>
      </w:r>
    </w:p>
    <w:p w14:paraId="035B9FFE">
      <w:pPr>
        <w:pStyle w:val="23"/>
        <w:keepNext w:val="0"/>
        <w:keepLines w:val="0"/>
        <w:pageBreakBefore w:val="0"/>
        <w:widowControl w:val="0"/>
        <w:kinsoku/>
        <w:wordWrap/>
        <w:overflowPunct/>
        <w:topLinePunct w:val="0"/>
        <w:autoSpaceDE/>
        <w:autoSpaceDN/>
        <w:bidi w:val="0"/>
        <w:adjustRightInd w:val="0"/>
        <w:snapToGrid w:val="0"/>
        <w:spacing w:line="580" w:lineRule="exact"/>
        <w:textAlignment w:val="auto"/>
        <w:rPr>
          <w:rFonts w:hint="default" w:ascii="Times New Roman" w:hAnsi="Times New Roman" w:eastAsia="仿宋_GB2312" w:cs="Times New Roman"/>
          <w:kern w:val="0"/>
          <w:sz w:val="32"/>
          <w:szCs w:val="32"/>
          <w:lang w:val="en-US" w:eastAsia="zh-CN" w:bidi="ar-SA"/>
        </w:rPr>
      </w:pPr>
      <w:r>
        <w:rPr>
          <w:rFonts w:hint="eastAsia" w:ascii="方正楷体_GB2312" w:hAnsi="楷体" w:eastAsia="方正楷体_GB2312" w:cs="楷体"/>
          <w:color w:val="000000" w:themeColor="text1"/>
          <w:kern w:val="0"/>
          <w:sz w:val="32"/>
          <w:szCs w:val="32"/>
          <w:lang w:val="en-US" w:eastAsia="zh-CN" w:bidi="ar-SA"/>
          <w14:textFill>
            <w14:solidFill>
              <w14:schemeClr w14:val="tx1"/>
            </w14:solidFill>
          </w14:textFill>
        </w:rPr>
        <w:t>（七）风险防范措施。</w:t>
      </w:r>
      <w:r>
        <w:rPr>
          <w:rFonts w:hint="default" w:ascii="Times New Roman" w:hAnsi="Times New Roman" w:eastAsia="仿宋_GB2312" w:cs="Times New Roman"/>
          <w:kern w:val="0"/>
          <w:sz w:val="32"/>
          <w:szCs w:val="32"/>
          <w:lang w:val="en-US" w:eastAsia="zh-CN" w:bidi="ar-SA"/>
        </w:rPr>
        <w:t>针对运营中可能发生的异常现象和存在的安全隐患，设置合理可行的技术措施，制定严格的操作规程；对易发生火灾事故的单元实行定期的巡检制度，及时发现问题，尽快解决；严格执行防火、防爆、防雷击、防毒害等各项要求；建立健全安全、环境管理体系及高效的安全生产机制，一旦发生事故，要做到快速、高效、安全处置；厂区内的电气设备严格按照防爆区划分配置；在仓库和成品仓库等易发生火灾的设施处设立警告牌(严禁烟火)；按照设计图的要求，注意避雷针的安全防护措施。</w:t>
      </w:r>
    </w:p>
    <w:p w14:paraId="70763C40">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三、项目建设必须严格执行环境保护设施与主体工程同时设计、同时施工、同时投入使用的环境保护“三同时”制度:</w:t>
      </w:r>
    </w:p>
    <w:p w14:paraId="02F25359">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（一）要将环境保护措施纳入初步设计报告并落实环保设施投资概算。</w:t>
      </w:r>
    </w:p>
    <w:p w14:paraId="2574269F">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（二）要将环境保护设施建设纳入施工合同，保证环境保护设施建设进度和资金。</w:t>
      </w:r>
    </w:p>
    <w:p w14:paraId="73FA5875">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（三）项目竣工后，须按规定程序实施竣工环境保护验收，验收合格后方可正式投运。</w:t>
      </w:r>
    </w:p>
    <w:p w14:paraId="66208846">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四）环境影响报告表批准后，项目性质、规模、地点、采用的生产工艺或者防治污染措施发生重大变动的，应当重新报批该项目环境影响报告表。自环境影响报告表批复文件批准之日起，如超过五年工程才决定开工的，应当在开工前将《报告表》报有审批权的生态环境主管部门重新审核。</w:t>
      </w:r>
    </w:p>
    <w:p w14:paraId="0918C45E">
      <w:pPr>
        <w:keepNext w:val="0"/>
        <w:keepLines w:val="0"/>
        <w:pageBreakBefore w:val="0"/>
        <w:widowControl w:val="0"/>
        <w:kinsoku/>
        <w:wordWrap/>
        <w:overflowPunct w:val="0"/>
        <w:topLinePunct w:val="0"/>
        <w:autoSpaceDE w:val="0"/>
        <w:autoSpaceDN w:val="0"/>
        <w:bidi w:val="0"/>
        <w:adjustRightInd w:val="0"/>
        <w:snapToGrid w:val="0"/>
        <w:spacing w:line="58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（五）锡林郭勒盟生态环境局阿巴嘎旗分局和阿巴嘎旗生态环境综合行政执法大队对该项目建设期和运营期各项生态环境保护措施落实情况进行监督检查和管理。</w:t>
      </w:r>
    </w:p>
    <w:p w14:paraId="30FB95B7">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48D14A34">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36B41A32">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37F29EF2">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p>
    <w:p w14:paraId="08404FDA">
      <w:pPr>
        <w:overflowPunct w:val="0"/>
        <w:autoSpaceDE w:val="0"/>
        <w:autoSpaceDN w:val="0"/>
        <w:adjustRightInd w:val="0"/>
        <w:snapToGrid w:val="0"/>
        <w:spacing w:line="56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 xml:space="preserve">          </w:t>
      </w:r>
    </w:p>
    <w:p w14:paraId="2644126C">
      <w:pPr>
        <w:overflowPunct w:val="0"/>
        <w:autoSpaceDE w:val="0"/>
        <w:autoSpaceDN w:val="0"/>
        <w:adjustRightInd w:val="0"/>
        <w:snapToGrid w:val="0"/>
        <w:spacing w:line="560" w:lineRule="exact"/>
        <w:jc w:val="right"/>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锡林郭勒盟生态环境局</w:t>
      </w:r>
    </w:p>
    <w:p w14:paraId="1C8383DE">
      <w:pPr>
        <w:kinsoku w:val="0"/>
        <w:overflowPunct w:val="0"/>
        <w:autoSpaceDE w:val="0"/>
        <w:autoSpaceDN w:val="0"/>
        <w:adjustRightInd w:val="0"/>
        <w:snapToGrid w:val="0"/>
        <w:spacing w:line="560" w:lineRule="exact"/>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 xml:space="preserve">                               </w:t>
      </w:r>
      <w:r>
        <w:rPr>
          <w:rFonts w:ascii="仿宋_GB2312" w:hAnsi="宋体" w:eastAsia="仿宋_GB2312"/>
          <w:color w:val="000000" w:themeColor="text1"/>
          <w:sz w:val="32"/>
          <w:szCs w:val="32"/>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 xml:space="preserve">   2025年</w:t>
      </w:r>
      <w:r>
        <w:rPr>
          <w:rFonts w:hint="eastAsia" w:ascii="仿宋_GB2312" w:hAnsi="宋体" w:eastAsia="仿宋_GB2312"/>
          <w:color w:val="000000" w:themeColor="text1"/>
          <w:sz w:val="32"/>
          <w:szCs w:val="32"/>
          <w:lang w:val="en-US" w:eastAsia="zh-CN"/>
          <w14:textFill>
            <w14:solidFill>
              <w14:schemeClr w14:val="tx1"/>
            </w14:solidFill>
          </w14:textFill>
        </w:rPr>
        <w:t>6</w:t>
      </w:r>
      <w:r>
        <w:rPr>
          <w:rFonts w:hint="eastAsia" w:ascii="仿宋_GB2312" w:hAnsi="宋体" w:eastAsia="仿宋_GB2312"/>
          <w:color w:val="000000" w:themeColor="text1"/>
          <w:sz w:val="32"/>
          <w:szCs w:val="32"/>
          <w14:textFill>
            <w14:solidFill>
              <w14:schemeClr w14:val="tx1"/>
            </w14:solidFill>
          </w14:textFill>
        </w:rPr>
        <w:t>月</w:t>
      </w:r>
      <w:r>
        <w:rPr>
          <w:rFonts w:hint="eastAsia" w:ascii="仿宋_GB2312" w:hAnsi="宋体" w:eastAsia="仿宋_GB2312"/>
          <w:color w:val="000000" w:themeColor="text1"/>
          <w:sz w:val="32"/>
          <w:szCs w:val="32"/>
          <w:lang w:val="en-US" w:eastAsia="zh-CN"/>
          <w14:textFill>
            <w14:solidFill>
              <w14:schemeClr w14:val="tx1"/>
            </w14:solidFill>
          </w14:textFill>
        </w:rPr>
        <w:t>19</w:t>
      </w:r>
      <w:r>
        <w:rPr>
          <w:rFonts w:hint="eastAsia" w:ascii="仿宋_GB2312" w:hAnsi="宋体" w:eastAsia="仿宋_GB2312"/>
          <w:color w:val="000000" w:themeColor="text1"/>
          <w:sz w:val="32"/>
          <w:szCs w:val="32"/>
          <w14:textFill>
            <w14:solidFill>
              <w14:schemeClr w14:val="tx1"/>
            </w14:solidFill>
          </w14:textFill>
        </w:rPr>
        <w:t>日</w:t>
      </w:r>
    </w:p>
    <w:p w14:paraId="7C668BD3">
      <w:pPr>
        <w:pStyle w:val="7"/>
        <w:ind w:firstLine="0"/>
        <w:rPr>
          <w:color w:val="000000" w:themeColor="text1"/>
          <w:lang w:eastAsia="zh-CN"/>
          <w14:textFill>
            <w14:solidFill>
              <w14:schemeClr w14:val="tx1"/>
            </w14:solidFill>
          </w14:textFill>
        </w:rPr>
      </w:pPr>
    </w:p>
    <w:p w14:paraId="050F15FE"/>
    <w:p w14:paraId="0B75DE4A">
      <w:pPr>
        <w:rPr>
          <w:color w:val="000000" w:themeColor="text1"/>
          <w14:textFill>
            <w14:solidFill>
              <w14:schemeClr w14:val="tx1"/>
            </w14:solidFill>
          </w14:textFill>
        </w:rPr>
      </w:pPr>
    </w:p>
    <w:p w14:paraId="43DD81F7">
      <w:pPr>
        <w:rPr>
          <w:color w:val="000000" w:themeColor="text1"/>
          <w14:textFill>
            <w14:solidFill>
              <w14:schemeClr w14:val="tx1"/>
            </w14:solidFill>
          </w14:textFill>
        </w:rPr>
      </w:pPr>
    </w:p>
    <w:p w14:paraId="23CFCCB4">
      <w:pPr>
        <w:rPr>
          <w:color w:val="000000" w:themeColor="text1"/>
          <w14:textFill>
            <w14:solidFill>
              <w14:schemeClr w14:val="tx1"/>
            </w14:solidFill>
          </w14:textFill>
        </w:rPr>
      </w:pPr>
    </w:p>
    <w:p w14:paraId="75ECE569">
      <w:pPr>
        <w:rPr>
          <w:color w:val="000000" w:themeColor="text1"/>
          <w14:textFill>
            <w14:solidFill>
              <w14:schemeClr w14:val="tx1"/>
            </w14:solidFill>
          </w14:textFill>
        </w:rPr>
      </w:pPr>
    </w:p>
    <w:p w14:paraId="0B2E96DB"/>
    <w:p w14:paraId="549B6B70">
      <w:pPr>
        <w:rPr>
          <w:rFonts w:hint="eastAsia"/>
        </w:rPr>
      </w:pPr>
    </w:p>
    <w:p w14:paraId="380B9D7B"/>
    <w:p w14:paraId="30A53B7F">
      <w:pPr>
        <w:pStyle w:val="7"/>
        <w:ind w:firstLine="420"/>
        <w:rPr>
          <w:color w:val="000000" w:themeColor="text1"/>
          <w:lang w:eastAsia="zh-CN"/>
          <w14:textFill>
            <w14:solidFill>
              <w14:schemeClr w14:val="tx1"/>
            </w14:solidFill>
          </w14:textFill>
        </w:rPr>
      </w:pPr>
    </w:p>
    <w:p w14:paraId="4DE8395F">
      <w:pPr>
        <w:rPr>
          <w:color w:val="000000" w:themeColor="text1"/>
          <w14:textFill>
            <w14:solidFill>
              <w14:schemeClr w14:val="tx1"/>
            </w14:solidFill>
          </w14:textFill>
        </w:rPr>
      </w:pPr>
    </w:p>
    <w:p w14:paraId="60EDE13A">
      <w:pPr>
        <w:spacing w:line="560" w:lineRule="exact"/>
        <w:ind w:firstLine="280" w:firstLineChars="1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12700</wp:posOffset>
                </wp:positionH>
                <wp:positionV relativeFrom="paragraph">
                  <wp:posOffset>36195</wp:posOffset>
                </wp:positionV>
                <wp:extent cx="5612130" cy="635"/>
                <wp:effectExtent l="0" t="0" r="0" b="0"/>
                <wp:wrapNone/>
                <wp:docPr id="1" name="直接连接符 3"/>
                <wp:cNvGraphicFramePr/>
                <a:graphic xmlns:a="http://schemas.openxmlformats.org/drawingml/2006/main">
                  <a:graphicData uri="http://schemas.microsoft.com/office/word/2010/wordprocessingShape">
                    <wps:wsp>
                      <wps:cNvCnPr/>
                      <wps:spPr>
                        <a:xfrm>
                          <a:off x="0" y="0"/>
                          <a:ext cx="5612130" cy="635"/>
                        </a:xfrm>
                        <a:prstGeom prst="straightConnector1">
                          <a:avLst/>
                        </a:prstGeom>
                        <a:ln w="3175" cap="flat" cmpd="sng">
                          <a:solidFill>
                            <a:srgbClr val="000000"/>
                          </a:solidFill>
                          <a:prstDash val="solid"/>
                          <a:headEnd type="none" w="med" len="med"/>
                          <a:tailEnd type="none" w="med" len="med"/>
                        </a:ln>
                      </wps:spPr>
                      <wps:bodyPr/>
                    </wps:wsp>
                  </a:graphicData>
                </a:graphic>
              </wp:anchor>
            </w:drawing>
          </mc:Choice>
          <mc:Fallback>
            <w:pict>
              <v:shape id="直接连接符 3" o:spid="_x0000_s1026" o:spt="32" type="#_x0000_t32" style="position:absolute;left:0pt;margin-left:1pt;margin-top:2.85pt;height:0.05pt;width:441.9pt;z-index:251659264;mso-width-relative:page;mso-height-relative:page;" filled="f" stroked="t" coordsize="21600,21600" o:gfxdata="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qKzKp0wAAAAUBAAAPAAAAAAAAAAEAIAAAACIAAABkcnMvZG93bnJldi54bWxQSwECFAAU&#10;AAAACACHTuJAZOmBZvYBAADoAwAADgAAAAAAAAABACAAAAAiAQAAZHJzL2Uyb0RvYy54bWxQSwUG&#10;AAAAAAYABgBZAQAAigUAAAAA&#10;">
                <v:fill on="f" focussize="0,0"/>
                <v:stroke weight="0.25pt" color="#000000" joinstyle="round"/>
                <v:imagedata o:title=""/>
                <o:lock v:ext="edit" aspectratio="f"/>
              </v:shape>
            </w:pict>
          </mc:Fallback>
        </mc:AlternateContent>
      </w:r>
      <w:r>
        <w:rPr>
          <w:rFonts w:hint="eastAsia" w:ascii="仿宋_GB2312" w:hAnsi="仿宋_GB2312" w:eastAsia="仿宋_GB2312" w:cs="仿宋_GB2312"/>
          <w:color w:val="000000" w:themeColor="text1"/>
          <w:sz w:val="28"/>
          <w:szCs w:val="28"/>
          <w14:textFill>
            <w14:solidFill>
              <w14:schemeClr w14:val="tx1"/>
            </w14:solidFill>
          </w14:textFill>
        </w:rPr>
        <w:t>抄送：盟生态环境综合行政执法支队、盟生态环境局阿巴嘎旗分局</w:t>
      </w:r>
    </w:p>
    <w:p w14:paraId="20E6679B">
      <w:pPr>
        <w:pStyle w:val="9"/>
        <w:pBdr>
          <w:top w:val="single" w:color="auto" w:sz="4" w:space="0"/>
          <w:bottom w:val="single" w:color="auto" w:sz="4" w:space="0"/>
        </w:pBdr>
        <w:spacing w:before="62" w:beforeLines="20" w:line="560" w:lineRule="exact"/>
        <w:ind w:firstLine="280" w:firstLineChars="100"/>
        <w:jc w:val="both"/>
        <w:rPr>
          <w:color w:val="000000" w:themeColor="text1"/>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锡林郭勒盟生态环境局办公室              2025年</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6</w:t>
      </w:r>
      <w:r>
        <w:rPr>
          <w:rFonts w:hint="eastAsia" w:ascii="仿宋_GB2312" w:hAnsi="仿宋_GB2312" w:eastAsia="仿宋_GB2312" w:cs="仿宋_GB2312"/>
          <w:color w:val="000000" w:themeColor="text1"/>
          <w:sz w:val="28"/>
          <w:szCs w:val="28"/>
          <w14:textFill>
            <w14:solidFill>
              <w14:schemeClr w14:val="tx1"/>
            </w14:solidFill>
          </w14:textFill>
        </w:rPr>
        <w:t>月</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19</w:t>
      </w:r>
      <w:bookmarkStart w:id="1" w:name="_GoBack"/>
      <w:bookmarkEnd w:id="1"/>
      <w:r>
        <w:rPr>
          <w:rFonts w:hint="eastAsia" w:ascii="仿宋_GB2312" w:hAnsi="仿宋_GB2312" w:eastAsia="仿宋_GB2312" w:cs="仿宋_GB2312"/>
          <w:color w:val="000000" w:themeColor="text1"/>
          <w:sz w:val="28"/>
          <w:szCs w:val="28"/>
          <w14:textFill>
            <w14:solidFill>
              <w14:schemeClr w14:val="tx1"/>
            </w14:solidFill>
          </w14:textFill>
        </w:rPr>
        <w:t>日印发</w:t>
      </w:r>
    </w:p>
    <w:p w14:paraId="0AC4942E">
      <w:pPr>
        <w:rPr>
          <w:color w:val="000000" w:themeColor="text1"/>
          <w:highlight w:val="yellow"/>
          <w14:textFill>
            <w14:solidFill>
              <w14:schemeClr w14:val="tx1"/>
            </w14:solidFill>
          </w14:textFill>
        </w:rPr>
      </w:pPr>
    </w:p>
    <w:sectPr>
      <w:footerReference r:id="rId3" w:type="default"/>
      <w:pgSz w:w="11906" w:h="16838"/>
      <w:pgMar w:top="1797" w:right="1474"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2312">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FD000">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3FEEB9">
                          <w:pPr>
                            <w:pStyle w:val="9"/>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hint="eastAsia" w:ascii="宋体" w:hAnsi="宋体"/>
                              <w:sz w:val="28"/>
                              <w:szCs w:val="28"/>
                            </w:rPr>
                            <w:t>1</w:t>
                          </w:r>
                          <w:r>
                            <w:rPr>
                              <w:rFonts w:hint="eastAsia" w:ascii="宋体" w:hAnsi="宋体"/>
                              <w:sz w:val="28"/>
                              <w:szCs w:val="28"/>
                            </w:rPr>
                            <w:fldChar w:fldCharType="end"/>
                          </w:r>
                          <w:r>
                            <w:rPr>
                              <w:rFonts w:hint="eastAsia" w:ascii="宋体" w:hAnsi="宋体"/>
                              <w:sz w:val="28"/>
                              <w:szCs w:val="28"/>
                            </w:rPr>
                            <w:t xml:space="preserve"> </w:t>
                          </w:r>
                          <w:r>
                            <w:rPr>
                              <w:rFonts w:hint="eastAsia"/>
                            </w:rPr>
                            <w:t>—</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omXUMQBAACQ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yUg1wN8eIhbO/STUEWoqhoPKjKalSpvw5z1nPf9I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PomXUMQBAACQAwAADgAAAAAAAAABACAAAAAeAQAAZHJzL2Uyb0RvYy54bWxQ&#10;SwUGAAAAAAYABgBZAQAAVAUAAAAA&#10;">
              <v:fill on="f" focussize="0,0"/>
              <v:stroke on="f"/>
              <v:imagedata o:title=""/>
              <o:lock v:ext="edit" aspectratio="f"/>
              <v:textbox inset="0mm,0mm,0mm,0mm" style="mso-fit-shape-to-text:t;">
                <w:txbxContent>
                  <w:p w14:paraId="733FEEB9">
                    <w:pPr>
                      <w:pStyle w:val="9"/>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hint="eastAsia" w:ascii="宋体" w:hAnsi="宋体"/>
                        <w:sz w:val="28"/>
                        <w:szCs w:val="28"/>
                      </w:rPr>
                      <w:t>1</w:t>
                    </w:r>
                    <w:r>
                      <w:rPr>
                        <w:rFonts w:hint="eastAsia" w:ascii="宋体" w:hAnsi="宋体"/>
                        <w:sz w:val="28"/>
                        <w:szCs w:val="28"/>
                      </w:rPr>
                      <w:fldChar w:fldCharType="end"/>
                    </w:r>
                    <w:r>
                      <w:rPr>
                        <w:rFonts w:hint="eastAsia" w:ascii="宋体" w:hAnsi="宋体"/>
                        <w:sz w:val="28"/>
                        <w:szCs w:val="28"/>
                      </w:rPr>
                      <w:t xml:space="preserve"> </w:t>
                    </w:r>
                    <w:r>
                      <w:rPr>
                        <w:rFonts w:hint="eastAsia"/>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61489"/>
    <w:multiLevelType w:val="singleLevel"/>
    <w:tmpl w:val="93C6148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mMTZhZmI4OWM5MDA0M2RkYjFmOTg4ODM3NzhkOGUifQ=="/>
  </w:docVars>
  <w:rsids>
    <w:rsidRoot w:val="000D4321"/>
    <w:rsid w:val="00014BC3"/>
    <w:rsid w:val="00016461"/>
    <w:rsid w:val="00021373"/>
    <w:rsid w:val="00022C38"/>
    <w:rsid w:val="00023581"/>
    <w:rsid w:val="000404B1"/>
    <w:rsid w:val="00041296"/>
    <w:rsid w:val="00043C77"/>
    <w:rsid w:val="00054BCA"/>
    <w:rsid w:val="000631B7"/>
    <w:rsid w:val="000633A5"/>
    <w:rsid w:val="0007260E"/>
    <w:rsid w:val="00073DCC"/>
    <w:rsid w:val="00077B62"/>
    <w:rsid w:val="00080288"/>
    <w:rsid w:val="000871F8"/>
    <w:rsid w:val="000926CF"/>
    <w:rsid w:val="000A3C9C"/>
    <w:rsid w:val="000B14EB"/>
    <w:rsid w:val="000B2804"/>
    <w:rsid w:val="000B40F1"/>
    <w:rsid w:val="000B4B35"/>
    <w:rsid w:val="000B67E1"/>
    <w:rsid w:val="000C14CA"/>
    <w:rsid w:val="000D4321"/>
    <w:rsid w:val="000E47F3"/>
    <w:rsid w:val="000F1552"/>
    <w:rsid w:val="000F3984"/>
    <w:rsid w:val="0010014D"/>
    <w:rsid w:val="00110B5D"/>
    <w:rsid w:val="00114AB6"/>
    <w:rsid w:val="001154B9"/>
    <w:rsid w:val="001336F3"/>
    <w:rsid w:val="001363F0"/>
    <w:rsid w:val="001377C3"/>
    <w:rsid w:val="00143AAF"/>
    <w:rsid w:val="00144D51"/>
    <w:rsid w:val="00156D20"/>
    <w:rsid w:val="001634C8"/>
    <w:rsid w:val="0016496B"/>
    <w:rsid w:val="001665B1"/>
    <w:rsid w:val="001667CC"/>
    <w:rsid w:val="001730B2"/>
    <w:rsid w:val="00173CF7"/>
    <w:rsid w:val="0017567C"/>
    <w:rsid w:val="001757EE"/>
    <w:rsid w:val="00184A29"/>
    <w:rsid w:val="00185005"/>
    <w:rsid w:val="0018654B"/>
    <w:rsid w:val="00191BBD"/>
    <w:rsid w:val="001934A1"/>
    <w:rsid w:val="00194F2D"/>
    <w:rsid w:val="001A0707"/>
    <w:rsid w:val="001A2789"/>
    <w:rsid w:val="001A289A"/>
    <w:rsid w:val="001A4ABE"/>
    <w:rsid w:val="001B458A"/>
    <w:rsid w:val="001B4F00"/>
    <w:rsid w:val="001C12BB"/>
    <w:rsid w:val="001C5D7D"/>
    <w:rsid w:val="001C6F41"/>
    <w:rsid w:val="001C77A0"/>
    <w:rsid w:val="001D2199"/>
    <w:rsid w:val="001D6824"/>
    <w:rsid w:val="001E28AF"/>
    <w:rsid w:val="001E5C99"/>
    <w:rsid w:val="001F2931"/>
    <w:rsid w:val="001F29E6"/>
    <w:rsid w:val="002029DC"/>
    <w:rsid w:val="00214954"/>
    <w:rsid w:val="00214AC5"/>
    <w:rsid w:val="00220818"/>
    <w:rsid w:val="00227B3B"/>
    <w:rsid w:val="00237A02"/>
    <w:rsid w:val="0025402B"/>
    <w:rsid w:val="0027421B"/>
    <w:rsid w:val="00276377"/>
    <w:rsid w:val="00276B95"/>
    <w:rsid w:val="00281D82"/>
    <w:rsid w:val="00285BBC"/>
    <w:rsid w:val="00286929"/>
    <w:rsid w:val="00287EA9"/>
    <w:rsid w:val="00296307"/>
    <w:rsid w:val="002A2EBD"/>
    <w:rsid w:val="002A57BB"/>
    <w:rsid w:val="002A6BCD"/>
    <w:rsid w:val="002B4290"/>
    <w:rsid w:val="002C14FE"/>
    <w:rsid w:val="002C5C46"/>
    <w:rsid w:val="002D17C7"/>
    <w:rsid w:val="002D7F4F"/>
    <w:rsid w:val="002E32AB"/>
    <w:rsid w:val="00300989"/>
    <w:rsid w:val="0032281E"/>
    <w:rsid w:val="00330B1D"/>
    <w:rsid w:val="00334735"/>
    <w:rsid w:val="00342D05"/>
    <w:rsid w:val="003446F8"/>
    <w:rsid w:val="00362FCD"/>
    <w:rsid w:val="003660F7"/>
    <w:rsid w:val="00366D97"/>
    <w:rsid w:val="00367982"/>
    <w:rsid w:val="00371C87"/>
    <w:rsid w:val="00375DDA"/>
    <w:rsid w:val="00384AA1"/>
    <w:rsid w:val="003A1D52"/>
    <w:rsid w:val="003A2731"/>
    <w:rsid w:val="003B2B89"/>
    <w:rsid w:val="003B3BE0"/>
    <w:rsid w:val="003B3D52"/>
    <w:rsid w:val="003B6966"/>
    <w:rsid w:val="003C6202"/>
    <w:rsid w:val="003D2E10"/>
    <w:rsid w:val="003D6458"/>
    <w:rsid w:val="003E0605"/>
    <w:rsid w:val="003E1170"/>
    <w:rsid w:val="003E14A6"/>
    <w:rsid w:val="003F0AB0"/>
    <w:rsid w:val="00403479"/>
    <w:rsid w:val="0041034D"/>
    <w:rsid w:val="0042123E"/>
    <w:rsid w:val="00422D2F"/>
    <w:rsid w:val="004318E0"/>
    <w:rsid w:val="00432EEF"/>
    <w:rsid w:val="004423C8"/>
    <w:rsid w:val="00443352"/>
    <w:rsid w:val="00445309"/>
    <w:rsid w:val="0046253A"/>
    <w:rsid w:val="004632AB"/>
    <w:rsid w:val="004632DF"/>
    <w:rsid w:val="00484E73"/>
    <w:rsid w:val="00486B14"/>
    <w:rsid w:val="00492E48"/>
    <w:rsid w:val="004A07E5"/>
    <w:rsid w:val="004A41E3"/>
    <w:rsid w:val="004A7F0C"/>
    <w:rsid w:val="004C1ED9"/>
    <w:rsid w:val="004C4042"/>
    <w:rsid w:val="004D4E19"/>
    <w:rsid w:val="004D5A02"/>
    <w:rsid w:val="004E472D"/>
    <w:rsid w:val="004E7138"/>
    <w:rsid w:val="004E7338"/>
    <w:rsid w:val="004F2D64"/>
    <w:rsid w:val="004F4BA0"/>
    <w:rsid w:val="004F69C0"/>
    <w:rsid w:val="004F6EC3"/>
    <w:rsid w:val="005029B0"/>
    <w:rsid w:val="005034F1"/>
    <w:rsid w:val="00504CF3"/>
    <w:rsid w:val="005109E9"/>
    <w:rsid w:val="0052226E"/>
    <w:rsid w:val="00522924"/>
    <w:rsid w:val="005268F5"/>
    <w:rsid w:val="00534AF5"/>
    <w:rsid w:val="005469CA"/>
    <w:rsid w:val="00546F03"/>
    <w:rsid w:val="005532E8"/>
    <w:rsid w:val="0056191F"/>
    <w:rsid w:val="0056715E"/>
    <w:rsid w:val="00567543"/>
    <w:rsid w:val="00577B98"/>
    <w:rsid w:val="00580098"/>
    <w:rsid w:val="00582E33"/>
    <w:rsid w:val="00593A2F"/>
    <w:rsid w:val="00597C54"/>
    <w:rsid w:val="005A0A60"/>
    <w:rsid w:val="005A1AB6"/>
    <w:rsid w:val="005A4C9D"/>
    <w:rsid w:val="005B7987"/>
    <w:rsid w:val="005C0F25"/>
    <w:rsid w:val="005C3D31"/>
    <w:rsid w:val="005C4984"/>
    <w:rsid w:val="005D2DDC"/>
    <w:rsid w:val="005D6003"/>
    <w:rsid w:val="005E51ED"/>
    <w:rsid w:val="005F0A96"/>
    <w:rsid w:val="00604B6E"/>
    <w:rsid w:val="00606272"/>
    <w:rsid w:val="00611D64"/>
    <w:rsid w:val="006135D2"/>
    <w:rsid w:val="00634B70"/>
    <w:rsid w:val="00644078"/>
    <w:rsid w:val="00644E61"/>
    <w:rsid w:val="00646D34"/>
    <w:rsid w:val="0065078A"/>
    <w:rsid w:val="00653229"/>
    <w:rsid w:val="00656DA9"/>
    <w:rsid w:val="00670AFA"/>
    <w:rsid w:val="00671585"/>
    <w:rsid w:val="00671A9A"/>
    <w:rsid w:val="00676B6B"/>
    <w:rsid w:val="006811B1"/>
    <w:rsid w:val="00682B41"/>
    <w:rsid w:val="006839CA"/>
    <w:rsid w:val="006900F5"/>
    <w:rsid w:val="006950FE"/>
    <w:rsid w:val="0069764E"/>
    <w:rsid w:val="006A4514"/>
    <w:rsid w:val="006A57F3"/>
    <w:rsid w:val="006B1F5D"/>
    <w:rsid w:val="006B2F16"/>
    <w:rsid w:val="006B5F68"/>
    <w:rsid w:val="006B76AD"/>
    <w:rsid w:val="006C57F8"/>
    <w:rsid w:val="006D0A7B"/>
    <w:rsid w:val="006D4549"/>
    <w:rsid w:val="006D4A45"/>
    <w:rsid w:val="006E2C8E"/>
    <w:rsid w:val="006E33CF"/>
    <w:rsid w:val="007004F7"/>
    <w:rsid w:val="0071347B"/>
    <w:rsid w:val="007156F8"/>
    <w:rsid w:val="0071639C"/>
    <w:rsid w:val="00717017"/>
    <w:rsid w:val="00726A41"/>
    <w:rsid w:val="00727B90"/>
    <w:rsid w:val="00742658"/>
    <w:rsid w:val="007433F9"/>
    <w:rsid w:val="007442CF"/>
    <w:rsid w:val="00750F31"/>
    <w:rsid w:val="007535CD"/>
    <w:rsid w:val="00784581"/>
    <w:rsid w:val="007866D2"/>
    <w:rsid w:val="007974D1"/>
    <w:rsid w:val="0079798C"/>
    <w:rsid w:val="007A4F19"/>
    <w:rsid w:val="007B5BDE"/>
    <w:rsid w:val="007B69DA"/>
    <w:rsid w:val="007C1F4E"/>
    <w:rsid w:val="007C42BF"/>
    <w:rsid w:val="007D5933"/>
    <w:rsid w:val="007E0BCA"/>
    <w:rsid w:val="007E3B15"/>
    <w:rsid w:val="007E7F58"/>
    <w:rsid w:val="007F0BC8"/>
    <w:rsid w:val="007F4521"/>
    <w:rsid w:val="007F5820"/>
    <w:rsid w:val="007F72CF"/>
    <w:rsid w:val="0080115A"/>
    <w:rsid w:val="008117DD"/>
    <w:rsid w:val="00812867"/>
    <w:rsid w:val="008130E1"/>
    <w:rsid w:val="00813982"/>
    <w:rsid w:val="00821E20"/>
    <w:rsid w:val="00830DD7"/>
    <w:rsid w:val="00835FC6"/>
    <w:rsid w:val="00863B8D"/>
    <w:rsid w:val="00867C91"/>
    <w:rsid w:val="0088219E"/>
    <w:rsid w:val="0088753F"/>
    <w:rsid w:val="008969DB"/>
    <w:rsid w:val="0089787A"/>
    <w:rsid w:val="008A56BA"/>
    <w:rsid w:val="008A6139"/>
    <w:rsid w:val="008A7F5C"/>
    <w:rsid w:val="008B2EBC"/>
    <w:rsid w:val="008C0209"/>
    <w:rsid w:val="008C3318"/>
    <w:rsid w:val="008D20AE"/>
    <w:rsid w:val="008E1087"/>
    <w:rsid w:val="008F1BA9"/>
    <w:rsid w:val="008F2278"/>
    <w:rsid w:val="008F36F2"/>
    <w:rsid w:val="008F5FB6"/>
    <w:rsid w:val="00902DA6"/>
    <w:rsid w:val="009326AF"/>
    <w:rsid w:val="00934945"/>
    <w:rsid w:val="0093665E"/>
    <w:rsid w:val="00940F76"/>
    <w:rsid w:val="009418ED"/>
    <w:rsid w:val="00950CF7"/>
    <w:rsid w:val="00966D48"/>
    <w:rsid w:val="00997150"/>
    <w:rsid w:val="009B5626"/>
    <w:rsid w:val="009B5F15"/>
    <w:rsid w:val="009C5272"/>
    <w:rsid w:val="009D5899"/>
    <w:rsid w:val="009D6EC8"/>
    <w:rsid w:val="009D7C36"/>
    <w:rsid w:val="009E0C6B"/>
    <w:rsid w:val="009E6CBF"/>
    <w:rsid w:val="00A015FA"/>
    <w:rsid w:val="00A157E2"/>
    <w:rsid w:val="00A5275A"/>
    <w:rsid w:val="00A52EA5"/>
    <w:rsid w:val="00A7191B"/>
    <w:rsid w:val="00A87AF4"/>
    <w:rsid w:val="00A9178B"/>
    <w:rsid w:val="00AA2A73"/>
    <w:rsid w:val="00AC0572"/>
    <w:rsid w:val="00AC3326"/>
    <w:rsid w:val="00AC376B"/>
    <w:rsid w:val="00AE6A7F"/>
    <w:rsid w:val="00B010CB"/>
    <w:rsid w:val="00B06CE1"/>
    <w:rsid w:val="00B0760D"/>
    <w:rsid w:val="00B15160"/>
    <w:rsid w:val="00B156ED"/>
    <w:rsid w:val="00B22D00"/>
    <w:rsid w:val="00B23B09"/>
    <w:rsid w:val="00B2434A"/>
    <w:rsid w:val="00B24A8D"/>
    <w:rsid w:val="00B33825"/>
    <w:rsid w:val="00B355E0"/>
    <w:rsid w:val="00B52F4A"/>
    <w:rsid w:val="00B538B3"/>
    <w:rsid w:val="00B73217"/>
    <w:rsid w:val="00BA1B3F"/>
    <w:rsid w:val="00BB1904"/>
    <w:rsid w:val="00BB5C79"/>
    <w:rsid w:val="00BB7FE0"/>
    <w:rsid w:val="00BC1783"/>
    <w:rsid w:val="00BC1D69"/>
    <w:rsid w:val="00BD64A2"/>
    <w:rsid w:val="00BE1005"/>
    <w:rsid w:val="00BE3E03"/>
    <w:rsid w:val="00BE7A30"/>
    <w:rsid w:val="00BF1DE6"/>
    <w:rsid w:val="00BF3747"/>
    <w:rsid w:val="00C04751"/>
    <w:rsid w:val="00C21916"/>
    <w:rsid w:val="00C26671"/>
    <w:rsid w:val="00C3336A"/>
    <w:rsid w:val="00C36B5B"/>
    <w:rsid w:val="00C37629"/>
    <w:rsid w:val="00C40053"/>
    <w:rsid w:val="00C42A83"/>
    <w:rsid w:val="00C4487F"/>
    <w:rsid w:val="00C46695"/>
    <w:rsid w:val="00C527AB"/>
    <w:rsid w:val="00C76DFB"/>
    <w:rsid w:val="00C80BCB"/>
    <w:rsid w:val="00C8132F"/>
    <w:rsid w:val="00C81F36"/>
    <w:rsid w:val="00C8208A"/>
    <w:rsid w:val="00C85788"/>
    <w:rsid w:val="00C86952"/>
    <w:rsid w:val="00C92F1D"/>
    <w:rsid w:val="00C93713"/>
    <w:rsid w:val="00CA0FC7"/>
    <w:rsid w:val="00CA2CDC"/>
    <w:rsid w:val="00CB0316"/>
    <w:rsid w:val="00CB1082"/>
    <w:rsid w:val="00CB2D7E"/>
    <w:rsid w:val="00CB6B94"/>
    <w:rsid w:val="00CD5C70"/>
    <w:rsid w:val="00CE339C"/>
    <w:rsid w:val="00CE663F"/>
    <w:rsid w:val="00CE7AF1"/>
    <w:rsid w:val="00CF00DB"/>
    <w:rsid w:val="00CF4F73"/>
    <w:rsid w:val="00CF5069"/>
    <w:rsid w:val="00CF6FAA"/>
    <w:rsid w:val="00CF7A5B"/>
    <w:rsid w:val="00D13836"/>
    <w:rsid w:val="00D14B11"/>
    <w:rsid w:val="00D2319A"/>
    <w:rsid w:val="00D37430"/>
    <w:rsid w:val="00D41852"/>
    <w:rsid w:val="00D42C31"/>
    <w:rsid w:val="00D45D58"/>
    <w:rsid w:val="00D567CC"/>
    <w:rsid w:val="00D609DD"/>
    <w:rsid w:val="00D66DA5"/>
    <w:rsid w:val="00D75851"/>
    <w:rsid w:val="00D83A20"/>
    <w:rsid w:val="00D876B4"/>
    <w:rsid w:val="00D87E3D"/>
    <w:rsid w:val="00D9066F"/>
    <w:rsid w:val="00D94332"/>
    <w:rsid w:val="00DA1DEC"/>
    <w:rsid w:val="00DB1081"/>
    <w:rsid w:val="00DB4999"/>
    <w:rsid w:val="00DC134C"/>
    <w:rsid w:val="00DC405B"/>
    <w:rsid w:val="00DD4E2E"/>
    <w:rsid w:val="00DE0D31"/>
    <w:rsid w:val="00DE566A"/>
    <w:rsid w:val="00DE781A"/>
    <w:rsid w:val="00DF38C0"/>
    <w:rsid w:val="00E0034C"/>
    <w:rsid w:val="00E01028"/>
    <w:rsid w:val="00E0200B"/>
    <w:rsid w:val="00E025F9"/>
    <w:rsid w:val="00E0355B"/>
    <w:rsid w:val="00E1047E"/>
    <w:rsid w:val="00E13283"/>
    <w:rsid w:val="00E317F8"/>
    <w:rsid w:val="00E47F17"/>
    <w:rsid w:val="00E56A9E"/>
    <w:rsid w:val="00E659E6"/>
    <w:rsid w:val="00E67084"/>
    <w:rsid w:val="00E6721D"/>
    <w:rsid w:val="00E67FE7"/>
    <w:rsid w:val="00E755C9"/>
    <w:rsid w:val="00E83567"/>
    <w:rsid w:val="00EA7C69"/>
    <w:rsid w:val="00EF2458"/>
    <w:rsid w:val="00EF41F6"/>
    <w:rsid w:val="00F00533"/>
    <w:rsid w:val="00F121F3"/>
    <w:rsid w:val="00F266D0"/>
    <w:rsid w:val="00F3098B"/>
    <w:rsid w:val="00F316FE"/>
    <w:rsid w:val="00F33A4C"/>
    <w:rsid w:val="00F34565"/>
    <w:rsid w:val="00F37167"/>
    <w:rsid w:val="00F37666"/>
    <w:rsid w:val="00F378D2"/>
    <w:rsid w:val="00F418DD"/>
    <w:rsid w:val="00F448FE"/>
    <w:rsid w:val="00F66013"/>
    <w:rsid w:val="00F73DFB"/>
    <w:rsid w:val="00F77CBE"/>
    <w:rsid w:val="00F86A9C"/>
    <w:rsid w:val="00F97C19"/>
    <w:rsid w:val="00FA0658"/>
    <w:rsid w:val="00FA55CB"/>
    <w:rsid w:val="00FB0224"/>
    <w:rsid w:val="00FB3C98"/>
    <w:rsid w:val="00FB51B0"/>
    <w:rsid w:val="00FB579B"/>
    <w:rsid w:val="00FC227D"/>
    <w:rsid w:val="00FC2586"/>
    <w:rsid w:val="00FE375A"/>
    <w:rsid w:val="00FE4A36"/>
    <w:rsid w:val="00FE68B9"/>
    <w:rsid w:val="00FE74C6"/>
    <w:rsid w:val="00FF0FED"/>
    <w:rsid w:val="00FF2EEE"/>
    <w:rsid w:val="00FF3049"/>
    <w:rsid w:val="02574437"/>
    <w:rsid w:val="0261070A"/>
    <w:rsid w:val="02A52E21"/>
    <w:rsid w:val="02B803C4"/>
    <w:rsid w:val="02E304A8"/>
    <w:rsid w:val="03432EB8"/>
    <w:rsid w:val="047F2D99"/>
    <w:rsid w:val="04D951F3"/>
    <w:rsid w:val="0539563E"/>
    <w:rsid w:val="05C67737"/>
    <w:rsid w:val="05E553C1"/>
    <w:rsid w:val="05FD2CFC"/>
    <w:rsid w:val="06357215"/>
    <w:rsid w:val="06C63381"/>
    <w:rsid w:val="06FC00CD"/>
    <w:rsid w:val="071B63D4"/>
    <w:rsid w:val="07AD4748"/>
    <w:rsid w:val="07E57854"/>
    <w:rsid w:val="08046A98"/>
    <w:rsid w:val="09275DBC"/>
    <w:rsid w:val="095F1029"/>
    <w:rsid w:val="0AB73FAD"/>
    <w:rsid w:val="0B036D01"/>
    <w:rsid w:val="0C0F7FC0"/>
    <w:rsid w:val="0C615B69"/>
    <w:rsid w:val="0C7B2438"/>
    <w:rsid w:val="0D600B04"/>
    <w:rsid w:val="0D867B6A"/>
    <w:rsid w:val="0DDE33AA"/>
    <w:rsid w:val="0FC1217B"/>
    <w:rsid w:val="0FC402FB"/>
    <w:rsid w:val="0FD0094D"/>
    <w:rsid w:val="106D1C1C"/>
    <w:rsid w:val="1096539B"/>
    <w:rsid w:val="118A612A"/>
    <w:rsid w:val="11DF3FB1"/>
    <w:rsid w:val="12E11047"/>
    <w:rsid w:val="12FE1C75"/>
    <w:rsid w:val="13233A01"/>
    <w:rsid w:val="13F14EFC"/>
    <w:rsid w:val="140313E6"/>
    <w:rsid w:val="14B468BF"/>
    <w:rsid w:val="15546A64"/>
    <w:rsid w:val="157C1640"/>
    <w:rsid w:val="15F018F0"/>
    <w:rsid w:val="1638748C"/>
    <w:rsid w:val="16857E4E"/>
    <w:rsid w:val="16921052"/>
    <w:rsid w:val="17C84CD0"/>
    <w:rsid w:val="188734A9"/>
    <w:rsid w:val="18BB27B3"/>
    <w:rsid w:val="194434A3"/>
    <w:rsid w:val="19AA453E"/>
    <w:rsid w:val="1A414E61"/>
    <w:rsid w:val="1A7F14FD"/>
    <w:rsid w:val="1A8A0DBC"/>
    <w:rsid w:val="1AA76660"/>
    <w:rsid w:val="1AB479EF"/>
    <w:rsid w:val="1AFC6A9A"/>
    <w:rsid w:val="1B2364DA"/>
    <w:rsid w:val="1C2F4B20"/>
    <w:rsid w:val="1DAF4CAA"/>
    <w:rsid w:val="1EEC428A"/>
    <w:rsid w:val="1FC243FE"/>
    <w:rsid w:val="20395ABC"/>
    <w:rsid w:val="20A0755B"/>
    <w:rsid w:val="212654F5"/>
    <w:rsid w:val="218131F2"/>
    <w:rsid w:val="218C7702"/>
    <w:rsid w:val="21AB217C"/>
    <w:rsid w:val="22DB6B4B"/>
    <w:rsid w:val="2343067D"/>
    <w:rsid w:val="23B01456"/>
    <w:rsid w:val="23D16350"/>
    <w:rsid w:val="23F20DD7"/>
    <w:rsid w:val="24057F52"/>
    <w:rsid w:val="249B1764"/>
    <w:rsid w:val="249F7400"/>
    <w:rsid w:val="24AC6D05"/>
    <w:rsid w:val="24CA3A31"/>
    <w:rsid w:val="24E23100"/>
    <w:rsid w:val="251247EC"/>
    <w:rsid w:val="256E7192"/>
    <w:rsid w:val="265931E9"/>
    <w:rsid w:val="26BA0FDF"/>
    <w:rsid w:val="26C2348B"/>
    <w:rsid w:val="273E51BC"/>
    <w:rsid w:val="28145B8A"/>
    <w:rsid w:val="28B20752"/>
    <w:rsid w:val="29B21703"/>
    <w:rsid w:val="29C93080"/>
    <w:rsid w:val="2AC71C98"/>
    <w:rsid w:val="2B650141"/>
    <w:rsid w:val="2C174586"/>
    <w:rsid w:val="2C8D1578"/>
    <w:rsid w:val="2D333A02"/>
    <w:rsid w:val="2D991BCC"/>
    <w:rsid w:val="2DE40F97"/>
    <w:rsid w:val="2E184CD7"/>
    <w:rsid w:val="2E2E47A7"/>
    <w:rsid w:val="2E5020EA"/>
    <w:rsid w:val="2E521A0E"/>
    <w:rsid w:val="2EBA0CEE"/>
    <w:rsid w:val="2F2B4C3B"/>
    <w:rsid w:val="31823AAD"/>
    <w:rsid w:val="320A35E8"/>
    <w:rsid w:val="333E0542"/>
    <w:rsid w:val="33583017"/>
    <w:rsid w:val="343B2199"/>
    <w:rsid w:val="344E40EC"/>
    <w:rsid w:val="34E56F46"/>
    <w:rsid w:val="352544E3"/>
    <w:rsid w:val="35963618"/>
    <w:rsid w:val="35AD5F9C"/>
    <w:rsid w:val="35C65EF2"/>
    <w:rsid w:val="36221A32"/>
    <w:rsid w:val="363148B7"/>
    <w:rsid w:val="364A359E"/>
    <w:rsid w:val="36586D70"/>
    <w:rsid w:val="36C6408A"/>
    <w:rsid w:val="36CB1E24"/>
    <w:rsid w:val="36F36D43"/>
    <w:rsid w:val="37594320"/>
    <w:rsid w:val="376D7913"/>
    <w:rsid w:val="37E334B0"/>
    <w:rsid w:val="37EC3586"/>
    <w:rsid w:val="38095AD2"/>
    <w:rsid w:val="38460570"/>
    <w:rsid w:val="39192536"/>
    <w:rsid w:val="394B7113"/>
    <w:rsid w:val="39784967"/>
    <w:rsid w:val="39B74241"/>
    <w:rsid w:val="39D8201A"/>
    <w:rsid w:val="3A184B1B"/>
    <w:rsid w:val="3A492E02"/>
    <w:rsid w:val="3AAD6655"/>
    <w:rsid w:val="3B9C1015"/>
    <w:rsid w:val="3BEF5219"/>
    <w:rsid w:val="3C286AAB"/>
    <w:rsid w:val="3C793F97"/>
    <w:rsid w:val="3CBF305F"/>
    <w:rsid w:val="3DBF72D5"/>
    <w:rsid w:val="3EBB70C3"/>
    <w:rsid w:val="3EF24F90"/>
    <w:rsid w:val="3EF94F1B"/>
    <w:rsid w:val="3FB90397"/>
    <w:rsid w:val="3FE53639"/>
    <w:rsid w:val="40461C32"/>
    <w:rsid w:val="40806A89"/>
    <w:rsid w:val="416C40CA"/>
    <w:rsid w:val="41775519"/>
    <w:rsid w:val="41966D58"/>
    <w:rsid w:val="41EE10B2"/>
    <w:rsid w:val="42475D9C"/>
    <w:rsid w:val="43602169"/>
    <w:rsid w:val="43CE7657"/>
    <w:rsid w:val="4436078D"/>
    <w:rsid w:val="448E0C92"/>
    <w:rsid w:val="45052318"/>
    <w:rsid w:val="45211CDC"/>
    <w:rsid w:val="45640B33"/>
    <w:rsid w:val="4588450D"/>
    <w:rsid w:val="458F5F23"/>
    <w:rsid w:val="46A20182"/>
    <w:rsid w:val="47550707"/>
    <w:rsid w:val="479B1591"/>
    <w:rsid w:val="47B9793D"/>
    <w:rsid w:val="47D22A11"/>
    <w:rsid w:val="47F73B80"/>
    <w:rsid w:val="485C47CD"/>
    <w:rsid w:val="4870423F"/>
    <w:rsid w:val="4A3C414F"/>
    <w:rsid w:val="4A497D71"/>
    <w:rsid w:val="4ACB2548"/>
    <w:rsid w:val="4AFC7B45"/>
    <w:rsid w:val="4B8B3568"/>
    <w:rsid w:val="4BB73257"/>
    <w:rsid w:val="4C2A0E0A"/>
    <w:rsid w:val="4CA30439"/>
    <w:rsid w:val="4D3A3410"/>
    <w:rsid w:val="4D412400"/>
    <w:rsid w:val="4D7C0E85"/>
    <w:rsid w:val="4DFF9793"/>
    <w:rsid w:val="4E1965B7"/>
    <w:rsid w:val="4E4543FA"/>
    <w:rsid w:val="4EB96AF6"/>
    <w:rsid w:val="4EC33E78"/>
    <w:rsid w:val="4FC72E9A"/>
    <w:rsid w:val="50064C25"/>
    <w:rsid w:val="505277A6"/>
    <w:rsid w:val="50917AF2"/>
    <w:rsid w:val="50D02E2C"/>
    <w:rsid w:val="512E0203"/>
    <w:rsid w:val="51DE2BE6"/>
    <w:rsid w:val="51FC6285"/>
    <w:rsid w:val="51FD7DD3"/>
    <w:rsid w:val="524F5238"/>
    <w:rsid w:val="5260080F"/>
    <w:rsid w:val="52636B53"/>
    <w:rsid w:val="527C7EE5"/>
    <w:rsid w:val="52872FB9"/>
    <w:rsid w:val="53621657"/>
    <w:rsid w:val="53686628"/>
    <w:rsid w:val="53825448"/>
    <w:rsid w:val="540734E4"/>
    <w:rsid w:val="54F660D4"/>
    <w:rsid w:val="56242FFC"/>
    <w:rsid w:val="56B91A79"/>
    <w:rsid w:val="5784304E"/>
    <w:rsid w:val="57ED02D4"/>
    <w:rsid w:val="58254B7B"/>
    <w:rsid w:val="584C1E00"/>
    <w:rsid w:val="58B646E4"/>
    <w:rsid w:val="58D16C77"/>
    <w:rsid w:val="58D678B9"/>
    <w:rsid w:val="59094AB3"/>
    <w:rsid w:val="59315255"/>
    <w:rsid w:val="597C6CF2"/>
    <w:rsid w:val="59E66B56"/>
    <w:rsid w:val="5A236E08"/>
    <w:rsid w:val="5A6A6B22"/>
    <w:rsid w:val="5A6C6CDA"/>
    <w:rsid w:val="5A7122F9"/>
    <w:rsid w:val="5A7140A7"/>
    <w:rsid w:val="5BAD13BD"/>
    <w:rsid w:val="5C2B7AAE"/>
    <w:rsid w:val="5CFE6AC8"/>
    <w:rsid w:val="5D0B7425"/>
    <w:rsid w:val="5DAD56ED"/>
    <w:rsid w:val="5DB630C9"/>
    <w:rsid w:val="5E593199"/>
    <w:rsid w:val="5EA11465"/>
    <w:rsid w:val="5ECF4E53"/>
    <w:rsid w:val="5FCC24AC"/>
    <w:rsid w:val="60C87082"/>
    <w:rsid w:val="60E946AD"/>
    <w:rsid w:val="6171498D"/>
    <w:rsid w:val="61F62577"/>
    <w:rsid w:val="626562A0"/>
    <w:rsid w:val="633217D3"/>
    <w:rsid w:val="63702D3A"/>
    <w:rsid w:val="641048FC"/>
    <w:rsid w:val="64590D91"/>
    <w:rsid w:val="64BE1E53"/>
    <w:rsid w:val="64C319A4"/>
    <w:rsid w:val="64E42046"/>
    <w:rsid w:val="64FF480A"/>
    <w:rsid w:val="650B422E"/>
    <w:rsid w:val="65940D04"/>
    <w:rsid w:val="65EA2FE6"/>
    <w:rsid w:val="665B32C7"/>
    <w:rsid w:val="669453CF"/>
    <w:rsid w:val="66C96C5B"/>
    <w:rsid w:val="66F06528"/>
    <w:rsid w:val="66FF0736"/>
    <w:rsid w:val="67B82324"/>
    <w:rsid w:val="68355229"/>
    <w:rsid w:val="6874002B"/>
    <w:rsid w:val="68FB11A8"/>
    <w:rsid w:val="69565B6F"/>
    <w:rsid w:val="695758E4"/>
    <w:rsid w:val="696E342C"/>
    <w:rsid w:val="698A0A0B"/>
    <w:rsid w:val="6A757101"/>
    <w:rsid w:val="6B3C0EC2"/>
    <w:rsid w:val="6B936CC9"/>
    <w:rsid w:val="6BDF372D"/>
    <w:rsid w:val="6C9C4126"/>
    <w:rsid w:val="6CD9327B"/>
    <w:rsid w:val="6D854964"/>
    <w:rsid w:val="6D9D0D51"/>
    <w:rsid w:val="6EF62017"/>
    <w:rsid w:val="6F135617"/>
    <w:rsid w:val="6F535D16"/>
    <w:rsid w:val="6FE8494E"/>
    <w:rsid w:val="70237A97"/>
    <w:rsid w:val="702C48A1"/>
    <w:rsid w:val="709063C6"/>
    <w:rsid w:val="71062E7F"/>
    <w:rsid w:val="7113427D"/>
    <w:rsid w:val="7195F3F1"/>
    <w:rsid w:val="72BD7B88"/>
    <w:rsid w:val="72E77C78"/>
    <w:rsid w:val="73406576"/>
    <w:rsid w:val="73C4160D"/>
    <w:rsid w:val="73FB4083"/>
    <w:rsid w:val="74311B75"/>
    <w:rsid w:val="74490FAD"/>
    <w:rsid w:val="74A415CC"/>
    <w:rsid w:val="7577125B"/>
    <w:rsid w:val="759F3762"/>
    <w:rsid w:val="76BD26F7"/>
    <w:rsid w:val="777F3B51"/>
    <w:rsid w:val="77F33180"/>
    <w:rsid w:val="783241B1"/>
    <w:rsid w:val="784C4A8F"/>
    <w:rsid w:val="78535FF9"/>
    <w:rsid w:val="78C05BA3"/>
    <w:rsid w:val="79A73D96"/>
    <w:rsid w:val="7A664E53"/>
    <w:rsid w:val="7AE9747C"/>
    <w:rsid w:val="7B7D3A38"/>
    <w:rsid w:val="7BE20509"/>
    <w:rsid w:val="7BF02034"/>
    <w:rsid w:val="7CFB171F"/>
    <w:rsid w:val="7E12129D"/>
    <w:rsid w:val="7E611CEE"/>
    <w:rsid w:val="7EC42148"/>
    <w:rsid w:val="7EE90D8C"/>
    <w:rsid w:val="7EF05A8C"/>
    <w:rsid w:val="7F535E77"/>
    <w:rsid w:val="DDF62D45"/>
    <w:rsid w:val="E7CCC5E8"/>
    <w:rsid w:val="FD31C36B"/>
    <w:rsid w:val="FDF13414"/>
    <w:rsid w:val="FDF1E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link w:val="20"/>
    <w:qFormat/>
    <w:uiPriority w:val="0"/>
    <w:pPr>
      <w:ind w:firstLine="420" w:firstLineChars="200"/>
    </w:pPr>
  </w:style>
  <w:style w:type="paragraph" w:customStyle="1" w:styleId="3">
    <w:name w:val="Char Char Char Char Char Char Char Char Char1 Char"/>
    <w:basedOn w:val="1"/>
    <w:next w:val="4"/>
    <w:qFormat/>
    <w:uiPriority w:val="0"/>
    <w:pPr>
      <w:spacing w:line="360" w:lineRule="auto"/>
      <w:ind w:firstLine="200" w:firstLineChars="200"/>
    </w:pPr>
    <w:rPr>
      <w:rFonts w:hAnsi="宋体" w:cs="宋体"/>
      <w:sz w:val="24"/>
    </w:rPr>
  </w:style>
  <w:style w:type="paragraph" w:customStyle="1" w:styleId="4">
    <w:name w:val="Body Text First Indent1"/>
    <w:next w:val="1"/>
    <w:qFormat/>
    <w:uiPriority w:val="0"/>
    <w:pPr>
      <w:widowControl w:val="0"/>
      <w:spacing w:after="120"/>
      <w:ind w:firstLine="420"/>
      <w:jc w:val="both"/>
    </w:pPr>
    <w:rPr>
      <w:rFonts w:ascii="Calibri" w:hAnsi="Calibri" w:eastAsia="宋体" w:cs="Times New Roman"/>
      <w:sz w:val="21"/>
      <w:szCs w:val="22"/>
      <w:lang w:val="en-US" w:eastAsia="zh-CN" w:bidi="ar-SA"/>
    </w:rPr>
  </w:style>
  <w:style w:type="paragraph" w:styleId="5">
    <w:name w:val="Body Text Indent"/>
    <w:basedOn w:val="1"/>
    <w:next w:val="1"/>
    <w:link w:val="19"/>
    <w:qFormat/>
    <w:uiPriority w:val="99"/>
    <w:pPr>
      <w:spacing w:after="120"/>
      <w:ind w:left="420" w:leftChars="200"/>
    </w:pPr>
  </w:style>
  <w:style w:type="paragraph" w:styleId="6">
    <w:name w:val="Plain Text"/>
    <w:basedOn w:val="1"/>
    <w:link w:val="16"/>
    <w:qFormat/>
    <w:uiPriority w:val="0"/>
    <w:rPr>
      <w:rFonts w:ascii="宋体" w:hAnsi="Courier New" w:cs="Courier New"/>
      <w:szCs w:val="21"/>
    </w:rPr>
  </w:style>
  <w:style w:type="paragraph" w:styleId="7">
    <w:name w:val="Body Text Indent 2"/>
    <w:basedOn w:val="1"/>
    <w:next w:val="1"/>
    <w:qFormat/>
    <w:uiPriority w:val="0"/>
    <w:pPr>
      <w:spacing w:line="360" w:lineRule="auto"/>
      <w:ind w:firstLine="570"/>
    </w:pPr>
    <w:rPr>
      <w:kern w:val="0"/>
      <w:sz w:val="24"/>
      <w:lang w:eastAsia="en-US"/>
    </w:rPr>
  </w:style>
  <w:style w:type="paragraph" w:styleId="8">
    <w:name w:val="Balloon Text"/>
    <w:basedOn w:val="1"/>
    <w:semiHidden/>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Body Text First Indent 2"/>
    <w:basedOn w:val="1"/>
    <w:next w:val="1"/>
    <w:qFormat/>
    <w:uiPriority w:val="0"/>
    <w:pPr>
      <w:spacing w:after="0"/>
      <w:ind w:firstLine="420" w:firstLineChars="200"/>
    </w:pPr>
    <w:rPr>
      <w:rFonts w:hint="eastAsia"/>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Char"/>
    <w:basedOn w:val="1"/>
    <w:qFormat/>
    <w:uiPriority w:val="0"/>
    <w:pPr>
      <w:widowControl/>
      <w:spacing w:after="160" w:line="240" w:lineRule="exact"/>
      <w:jc w:val="left"/>
    </w:pPr>
  </w:style>
  <w:style w:type="character" w:customStyle="1" w:styleId="16">
    <w:name w:val="纯文本 字符"/>
    <w:link w:val="6"/>
    <w:qFormat/>
    <w:uiPriority w:val="0"/>
    <w:rPr>
      <w:rFonts w:ascii="宋体" w:hAnsi="Courier New" w:eastAsia="宋体" w:cs="Courier New"/>
      <w:kern w:val="2"/>
      <w:sz w:val="21"/>
      <w:szCs w:val="21"/>
      <w:lang w:val="en-US" w:eastAsia="zh-CN" w:bidi="ar-SA"/>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Char4"/>
    <w:basedOn w:val="1"/>
    <w:qFormat/>
    <w:uiPriority w:val="0"/>
    <w:rPr>
      <w:color w:val="000000"/>
      <w:u w:color="000000"/>
    </w:rPr>
  </w:style>
  <w:style w:type="character" w:customStyle="1" w:styleId="19">
    <w:name w:val="正文文本缩进 字符"/>
    <w:basedOn w:val="14"/>
    <w:link w:val="5"/>
    <w:qFormat/>
    <w:uiPriority w:val="99"/>
    <w:rPr>
      <w:kern w:val="2"/>
      <w:sz w:val="21"/>
      <w:szCs w:val="24"/>
    </w:rPr>
  </w:style>
  <w:style w:type="character" w:customStyle="1" w:styleId="20">
    <w:name w:val="正文缩进 字符"/>
    <w:link w:val="2"/>
    <w:autoRedefine/>
    <w:qFormat/>
    <w:uiPriority w:val="0"/>
    <w:rPr>
      <w:kern w:val="2"/>
      <w:sz w:val="21"/>
      <w:szCs w:val="24"/>
    </w:rPr>
  </w:style>
  <w:style w:type="paragraph" w:customStyle="1" w:styleId="21">
    <w:name w:val="样式1"/>
    <w:basedOn w:val="1"/>
    <w:qFormat/>
    <w:uiPriority w:val="0"/>
    <w:pPr>
      <w:widowControl/>
      <w:kinsoku w:val="0"/>
      <w:adjustRightInd w:val="0"/>
      <w:snapToGrid w:val="0"/>
      <w:spacing w:line="360" w:lineRule="auto"/>
      <w:ind w:firstLine="1440" w:firstLineChars="200"/>
      <w:jc w:val="left"/>
      <w:textAlignment w:val="baseline"/>
    </w:pPr>
    <w:rPr>
      <w:rFonts w:hint="eastAsia" w:ascii="Times New Roman" w:hAnsi="Times New Roman"/>
      <w:snapToGrid w:val="0"/>
      <w:kern w:val="0"/>
      <w:sz w:val="24"/>
    </w:rPr>
  </w:style>
  <w:style w:type="character" w:customStyle="1" w:styleId="22">
    <w:name w:val="ca-1"/>
    <w:basedOn w:val="14"/>
    <w:qFormat/>
    <w:uiPriority w:val="0"/>
  </w:style>
  <w:style w:type="paragraph" w:customStyle="1" w:styleId="23">
    <w:name w:val="1.评估正文"/>
    <w:basedOn w:val="1"/>
    <w:qFormat/>
    <w:uiPriority w:val="0"/>
    <w:pPr>
      <w:adjustRightInd w:val="0"/>
      <w:snapToGrid w:val="0"/>
      <w:spacing w:line="360" w:lineRule="auto"/>
      <w:ind w:firstLine="56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芳向电脑工作室</Company>
  <Pages>6</Pages>
  <Words>2630</Words>
  <Characters>2696</Characters>
  <Lines>24</Lines>
  <Paragraphs>6</Paragraphs>
  <TotalTime>3</TotalTime>
  <ScaleCrop>false</ScaleCrop>
  <LinksUpToDate>false</LinksUpToDate>
  <CharactersWithSpaces>2852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2023-05-06T07:59:00Z</dcterms:created>
  <dc:creator>lenovo</dc:creator>
  <cp:lastModifiedBy>冰岩</cp:lastModifiedBy>
  <cp:lastPrinted>2025-01-10T07:41:00Z</cp:lastPrinted>
  <dcterms:modified xsi:type="dcterms:W3CDTF">2025-06-19T00:47:21Z</dcterms:modified>
  <dc:title>太环审  ﹝201 ﹞ 号</dc:title>
  <cp:revision>459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E543531A74C542198B61AB3471C8F05F_13</vt:lpwstr>
  </property>
  <property fmtid="{D5CDD505-2E9C-101B-9397-08002B2CF9AE}" pid="4" name="KSOTemplateDocerSaveRecord">
    <vt:lpwstr>eyJoZGlkIjoiNTc2ODc5ZDg3YWM0YWY0Y2RjNzk4NGVmY2Y3MzU5ZTEiLCJ1c2VySWQiOiI0MTA2MzI5NjkifQ==</vt:lpwstr>
  </property>
</Properties>
</file>