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9FC4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阿巴嘎旗农牧和科技局</w:t>
      </w:r>
    </w:p>
    <w:p w14:paraId="673F572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2025年扶持发展新型农村牧区集体经济</w:t>
      </w:r>
    </w:p>
    <w:p w14:paraId="727A146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项目资金分配及项目实施方案</w:t>
      </w:r>
    </w:p>
    <w:p w14:paraId="0B36AE40">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val="en-US" w:eastAsia="zh-CN"/>
        </w:rPr>
      </w:pPr>
    </w:p>
    <w:p w14:paraId="58D1FBD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根据《内蒙古自治区党委组织部、内</w:t>
      </w:r>
      <w:bookmarkStart w:id="4" w:name="_GoBack"/>
      <w:bookmarkEnd w:id="4"/>
      <w:r>
        <w:rPr>
          <w:rFonts w:hint="eastAsia" w:ascii="仿宋_GB2312" w:hAnsi="仿宋_GB2312" w:eastAsia="仿宋_GB2312" w:cs="仿宋_GB2312"/>
          <w:sz w:val="32"/>
          <w:szCs w:val="32"/>
          <w:lang w:val="en-US" w:eastAsia="zh-CN"/>
        </w:rPr>
        <w:t>蒙古自治区财政厅、内蒙古自治区自然资源厅、内蒙古自治区农牧厅、内蒙古自治区乡村振兴局印发〈关于强化农村牧区基层党组织政治功能和组织功能扶持发展新型农村牧区集体经济的实施方案〉的通知》（内组通字〔2023〕26号）《内蒙古自治区扶持发展壮大嘎查村级集体经济项目和资金管理办法》及锡林郭勒盟委农村牧区工作领导小组《关于印发全盟2025年扶持发展新型农村牧区集体经济项目有关情况的通知》（锡党农牧组发〔2025〕4号）等相关文件精神，结合我旗扶持发展新型农村牧区集体经济工作和巩固拓展脱贫攻坚成果同乡村振兴有效衔接工作实际，特制定本实施方案。</w:t>
      </w:r>
    </w:p>
    <w:p w14:paraId="673A47B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一、指导思想</w:t>
      </w:r>
    </w:p>
    <w:p w14:paraId="5762680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以习近平新时代中国特色社会主义思想为指导，学习运用浙江“千万工程”经验中蕴含的理念和方法，通过强化新型牧区集体经济，推动我旗畜牧业高质量发展。通过实施新一轮新型牧区集体经济扶持行动，构建产权关系明晰、治理架构科学、经营方式稳健、收益分配合理的牧区集体经济运行机制，探索多样化途径发展新型农村牧区集体经济。通过扶持发展新型牧区集体经济，推动牧区基层党组织落实乡村振兴战略要求，组织引导牧民投身于畜牧业现代化和宜居宜业和美乡村建设之中，进一步夯实党在牧区的执政根基。</w:t>
      </w:r>
    </w:p>
    <w:p w14:paraId="3E44898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二、目标任务</w:t>
      </w:r>
    </w:p>
    <w:p w14:paraId="0F7FF2A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以“班子增活力、集体增资产、群众增收入，基础设施强、服务阵地强、民主管理强”为工作目标，科学规划、合理布局，创新发展新型牧区集体经济新形式，多途径增加嘎查集体经济可支配收入，不断发展壮大嘎查集体经济。2025年计划投入扶持发展壮大嘎查级集体经济项目资金500万元，在全旗4个嘎查实施发展新型农村牧区嘎查集体经济项目，推动我旗新型农村牧区嘎查集体经济高质量发展</w:t>
      </w:r>
      <w:r>
        <w:rPr>
          <w:rFonts w:hint="default" w:ascii="仿宋_GB2312" w:hAnsi="仿宋_GB2312" w:eastAsia="仿宋_GB2312" w:cs="仿宋_GB2312"/>
          <w:sz w:val="32"/>
          <w:szCs w:val="32"/>
          <w:lang w:val="en-US" w:eastAsia="zh-CN"/>
        </w:rPr>
        <w:t>。</w:t>
      </w:r>
    </w:p>
    <w:p w14:paraId="451687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三、实施依据</w:t>
      </w:r>
    </w:p>
    <w:p w14:paraId="7B235AE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内蒙古自治区党委组织部、内蒙古自治区财政厅、内蒙古自治区自然资源厅、内蒙古自治区农牧厅、内蒙古自治区乡村振兴局印发〈关于强化农村牧区基层党组织政治功能和组织功能扶持发展新型农村牧区集体经济的实施方案〉的通知》（内组通字〔2023〕26号）《内蒙古自治区扶持发展壮大嘎查村级集体经济项目和资金管理办法》及锡林郭勒盟委农村牧区工作领导小组《关于印发全盟2025年扶持发展新型农村牧区集体经济项目有关情况的通知（锡党农牧组发〔2025〕4号）》</w:t>
      </w:r>
      <w:r>
        <w:rPr>
          <w:rFonts w:hint="default" w:ascii="仿宋_GB2312" w:hAnsi="仿宋_GB2312" w:eastAsia="仿宋_GB2312" w:cs="仿宋_GB2312"/>
          <w:sz w:val="32"/>
          <w:szCs w:val="32"/>
          <w:lang w:val="en-US" w:eastAsia="zh-CN"/>
        </w:rPr>
        <w:t>等为依据，用好用活扶持发展</w:t>
      </w:r>
      <w:r>
        <w:rPr>
          <w:rFonts w:hint="eastAsia" w:ascii="仿宋_GB2312" w:hAnsi="仿宋_GB2312" w:eastAsia="仿宋_GB2312" w:cs="仿宋_GB2312"/>
          <w:sz w:val="32"/>
          <w:szCs w:val="32"/>
          <w:lang w:val="en-US" w:eastAsia="zh-CN"/>
        </w:rPr>
        <w:t>新型农村牧区</w:t>
      </w:r>
      <w:r>
        <w:rPr>
          <w:rFonts w:hint="default" w:ascii="仿宋_GB2312" w:hAnsi="仿宋_GB2312" w:eastAsia="仿宋_GB2312" w:cs="仿宋_GB2312"/>
          <w:sz w:val="32"/>
          <w:szCs w:val="32"/>
          <w:lang w:val="en-US" w:eastAsia="zh-CN"/>
        </w:rPr>
        <w:t>集体经济项目</w:t>
      </w:r>
      <w:r>
        <w:rPr>
          <w:rFonts w:hint="eastAsia" w:ascii="仿宋_GB2312" w:hAnsi="仿宋_GB2312" w:eastAsia="仿宋_GB2312" w:cs="仿宋_GB2312"/>
          <w:sz w:val="32"/>
          <w:szCs w:val="32"/>
          <w:lang w:val="en-US" w:eastAsia="zh-CN"/>
        </w:rPr>
        <w:t>资金</w:t>
      </w:r>
      <w:r>
        <w:rPr>
          <w:rFonts w:hint="default" w:ascii="仿宋_GB2312" w:hAnsi="仿宋_GB2312" w:eastAsia="仿宋_GB2312" w:cs="仿宋_GB2312"/>
          <w:sz w:val="32"/>
          <w:szCs w:val="32"/>
          <w:lang w:val="en-US" w:eastAsia="zh-CN"/>
        </w:rPr>
        <w:t>，切实提高资金使用效益。</w:t>
      </w:r>
    </w:p>
    <w:p w14:paraId="7CFEE8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default" w:ascii="黑体" w:hAnsi="黑体" w:eastAsia="黑体" w:cs="黑体"/>
          <w:sz w:val="32"/>
          <w:szCs w:val="32"/>
          <w:lang w:val="en-US" w:eastAsia="zh-CN"/>
        </w:rPr>
        <w:t>四、实施原则</w:t>
      </w:r>
    </w:p>
    <w:p w14:paraId="60B6852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（一）基本原则</w:t>
      </w:r>
    </w:p>
    <w:p w14:paraId="32147D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党的领导。毫不动摇地坚持和加强党对牧区工作的领导，引导苏木镇党委把发展新型集体经济作为全面推进乡村振兴的重点任务统筹推进。牢固树立党建引领、党政主导理念，强化嘎查党组织对集体经济组织的领导，嘎查集体经济的重要事项须经嘎查党组织研究讨论。</w:t>
      </w:r>
    </w:p>
    <w:p w14:paraId="5EACBEC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——坚持以民为本。发展新型牧区集体经济要把促进牧民共同富裕作为出发点和落脚点，充分尊重牧民意愿，</w:t>
      </w:r>
      <w:r>
        <w:rPr>
          <w:rFonts w:hint="eastAsia" w:ascii="仿宋_GB2312" w:hAnsi="仿宋_GB2312" w:eastAsia="仿宋_GB2312" w:cs="仿宋_GB2312"/>
          <w:sz w:val="32"/>
          <w:szCs w:val="32"/>
          <w:highlight w:val="yellow"/>
          <w:lang w:val="en-US" w:eastAsia="zh-CN"/>
        </w:rPr>
        <w:t>发挥牧民的主体作用，</w:t>
      </w:r>
      <w:r>
        <w:rPr>
          <w:rFonts w:hint="eastAsia" w:ascii="仿宋_GB2312" w:hAnsi="仿宋_GB2312" w:eastAsia="仿宋_GB2312" w:cs="仿宋_GB2312"/>
          <w:sz w:val="32"/>
          <w:szCs w:val="32"/>
          <w:lang w:val="en-US" w:eastAsia="zh-CN"/>
        </w:rPr>
        <w:t>促进牧民持续增收，不断提升牧民群众的获得感、幸福感、安全感，引导各族群众听党话、感党恩、跟党走。</w:t>
      </w:r>
    </w:p>
    <w:p w14:paraId="794B299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——坚持规划先行。将集体经济发展项目纳入本地区经济发展规划，与实施乡村振兴战略等中心工作有机结合，科学规划，优先发展绿色、高质、高效的项目。</w:t>
      </w:r>
    </w:p>
    <w:p w14:paraId="43F78D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因地制宜。坚持从实际出发作决策，灵活采取自主开发、资产参股、委托经营等多种方式，盘活利用牧区集体资产、资源要素，发展牧区新产业新业态。要因嘎查施策，探索不同经营单位的组织形式和运营模式，推动一二三产业融合发展。</w:t>
      </w:r>
    </w:p>
    <w:p w14:paraId="2A3FC7D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公平公正。发展新型牧区集体经济要坚持不改变嘎查集体产权性质、不损害嘎查集体利益、不损害牧民利益“三条底线”，促进集体资产保值增值。特别是在实施扶持项目中，要注重全过程的公开、公平、公正，确保发展成果惠及本集体所有成员。</w:t>
      </w:r>
    </w:p>
    <w:p w14:paraId="542E4C7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（二）资金使用和资产管理原则</w:t>
      </w:r>
    </w:p>
    <w:p w14:paraId="1647DD8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专款专用。扶持资金管理执行中央、自治区、盟、旗衔接资金管理有关规定，加强对工作落实和扶持资金项目的监督检查，及时纠正推进中的问题。注重依托信息手段、专业力量推动嘎查村集体资产财务管理制度化、规范化。强化资金管理和资金报账制度，严格执行国库集中支付、报账提款、专账核算等管理规定，做到用钱必问效，无效必究责，确保项目资金安全运行。项目嘎查和项目实施主体是资金使用的直接责任人，负责按项目计划进行建设、按规定使用资金、按时完成建设任务、准备报账材料、提供项目资料、建立会计档案等工作。嘎查集体经济发展过程中盲目决策造成重大损失或恶劣影响、违规新增嘎查组织债务、贪污挪用截留套取扶持资金的，按规定追究责任。</w:t>
      </w:r>
    </w:p>
    <w:p w14:paraId="4BE59EB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——坚持公示公告制度。项目申报单位和主管单位严格落实嘎查、苏木镇、旗三级公示公告制度，增加项目透明度，确保群众知情权，自觉接受社会监督。综合运用现场公开、信息化公开手段， 及时公开嘎查集体经济运营管理情况，接受成员和社会监督。</w:t>
      </w:r>
    </w:p>
    <w:p w14:paraId="78B46C2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项目受益、产权明确。项目实施完成后项目实施单位将项目资产移交给项目嘎查，项目单位、苏木镇、嘎查要按照《内蒙古自治区扶持发展壮大嘎查村级集体经济项目和资金管理办法》文件要求，做好资产后续管理、收益资金分配、资产处置等工作。项目实施单位和项目嘎查要加强项目管理和效益最大化，项目年收益不得低于同期贷款市场报价利率，所得收益重点用于巩固拓展脱贫攻坚成果、全面推进乡村振兴及项目资产运行管护等；优先用于脱贫不稳定户、边缘易致贫户、突发严重困难户帮扶，也可用于资产收益、开发公益性岗位、志智双扶奖励补助、鼓励群众参加嘎查内项目建设和发展等劳动、购买“防贫保”与“扶贫项目资产保险”、扶贫项目资产后续管护、小型公益性基础设施建设等，还可用于壮大嘎查集体经济、优势特色产业发展与提质增效，以及其他与巩固拓展脱贫攻坚成果和推进乡村振兴的相关项目。</w:t>
      </w:r>
    </w:p>
    <w:p w14:paraId="533EE19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五、项目资金来源及分配</w:t>
      </w:r>
    </w:p>
    <w:p w14:paraId="3D058BA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年扶持发展新型农村牧区嘎查集体经济项目</w:t>
      </w:r>
      <w:r>
        <w:rPr>
          <w:rFonts w:hint="eastAsia" w:ascii="仿宋_GB2312" w:hAnsi="仿宋_GB2312" w:eastAsia="仿宋_GB2312" w:cs="仿宋_GB2312"/>
          <w:sz w:val="32"/>
          <w:szCs w:val="32"/>
          <w:lang w:val="en-US" w:eastAsia="zh-CN"/>
        </w:rPr>
        <w:t>总投资500万元，其中：中央资金140万元、自治区资金200万元、旗级资金65万元，盟级资金95万元。具体分配如下：</w:t>
      </w:r>
    </w:p>
    <w:p w14:paraId="79B59A2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锡林郭勒盟财政局关于提前下达2025年中央财政衔接推进乡村振兴补助资金预算的通知（锡财农〔2024〕1077号）下达中央扶持嘎查资金140万元，计划实施洪格尔高勒镇萨如拉锡力嘎查、那仁宝拉格苏木阿木古楞嘎查扶持发展新型农村牧区嘎查集体经济项目，资金分配至洪格尔高勒镇人民政府70万元、那仁宝拉格苏木人民政府70万元。</w:t>
      </w:r>
    </w:p>
    <w:p w14:paraId="37C1495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锡林郭勒盟财政局关于提前下达2025年自治区财政衔接推进乡村振兴补助资金预算的通知（锡财农〔2024〕1306号）下达中央扶持嘎查自治区资金60万元，计划实施洪格尔高勒镇萨如拉锡力嘎查、那仁宝拉格苏木阿木古楞嘎查扶持发展新型农村牧区嘎查集体经济项目，资金分配至洪格尔高勒镇人民政府30万元、那仁宝拉格苏木人民政府30万元。</w:t>
      </w:r>
    </w:p>
    <w:p w14:paraId="305744E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锡林郭勒盟财政局关于提前下达2025年扶持嘎查村级集体经济发展资金的通知（锡财农〔2024〕1307号）下达自治区扶持嘎查资金140万元，计划实施洪格尔高勒镇哈夏图嘎查、查干淖尔镇乌日根温都日勒嘎查发展新型农村牧区集体经济项目，资金分配至洪格尔高勒人民政府70万元，查干淖尔镇人民政府70万元。</w:t>
      </w:r>
    </w:p>
    <w:p w14:paraId="2170528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阿巴嘎旗财政局关于批复2025年部门预算的函（阿财函〔2025〕3号）旗级配套资金65万元，其中：洪格尔高勒镇萨如拉锡力嘎查项目配套旗级资金12.5万元分配至洪格尔高勒人民政府、那仁宝拉格苏木阿木古楞嘎查项目配套旗级资金12.5万元分配至那仁宝拉格苏木人民政府，洪格尔高勒镇哈夏图嘎查项目配套旗级资金20万元分配至洪格尔高勒人民政府、查干淖尔镇乌日根温都日勒嘎查项目配套旗级资金20万元分配至查干淖尔镇人民政府。</w:t>
      </w:r>
    </w:p>
    <w:p w14:paraId="57B89CA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扶持发展嘎查村级集体经济发展盟级配套资金95万元尚未下达，待资金指标下达后按照本制定方案要求分配至各苏木镇，其中：洪格尔高勒镇萨如拉锡力嘎查项目盟级配套资金12.5万元、哈夏图嘎查项目盟级配套资金35万元下达后分配至洪格尔高勒人民政府，那仁宝拉格苏木阿木古楞嘎查项目盟级配套资金12.5万元下达后分配至那仁宝拉格苏木人民政府，查干淖尔镇乌日根温都日勒嘎查项目盟级配套资金35万元下达后分配至查干淖尔镇人民政府。</w:t>
      </w:r>
    </w:p>
    <w:p w14:paraId="1A0CBA27">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项目投资概算</w:t>
      </w:r>
      <w:r>
        <w:rPr>
          <w:rFonts w:hint="eastAsia" w:asciiTheme="minorEastAsia" w:hAnsiTheme="minorEastAsia" w:cstheme="minorEastAsia"/>
          <w:b/>
          <w:bCs/>
          <w:sz w:val="28"/>
          <w:szCs w:val="28"/>
          <w:lang w:val="en-US" w:eastAsia="zh-CN"/>
        </w:rPr>
        <w:t>及资金分配</w:t>
      </w:r>
      <w:r>
        <w:rPr>
          <w:rFonts w:hint="eastAsia" w:asciiTheme="minorEastAsia" w:hAnsiTheme="minorEastAsia" w:eastAsiaTheme="minorEastAsia" w:cstheme="minorEastAsia"/>
          <w:b/>
          <w:bCs/>
          <w:sz w:val="28"/>
          <w:szCs w:val="28"/>
          <w:lang w:val="en-US" w:eastAsia="zh-CN"/>
        </w:rPr>
        <w:t>汇总表</w:t>
      </w:r>
    </w:p>
    <w:tbl>
      <w:tblPr>
        <w:tblStyle w:val="12"/>
        <w:tblW w:w="79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2"/>
        <w:gridCol w:w="1799"/>
        <w:gridCol w:w="965"/>
        <w:gridCol w:w="756"/>
        <w:gridCol w:w="883"/>
        <w:gridCol w:w="923"/>
        <w:gridCol w:w="939"/>
      </w:tblGrid>
      <w:tr w14:paraId="287E9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662" w:type="dxa"/>
            <w:vMerge w:val="restart"/>
            <w:vAlign w:val="center"/>
          </w:tcPr>
          <w:p w14:paraId="7985161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苏木镇</w:t>
            </w:r>
          </w:p>
        </w:tc>
        <w:tc>
          <w:tcPr>
            <w:tcW w:w="1799" w:type="dxa"/>
            <w:vMerge w:val="restart"/>
            <w:vAlign w:val="center"/>
          </w:tcPr>
          <w:p w14:paraId="06F84EE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嘎查</w:t>
            </w:r>
          </w:p>
        </w:tc>
        <w:tc>
          <w:tcPr>
            <w:tcW w:w="965" w:type="dxa"/>
            <w:vMerge w:val="restart"/>
            <w:vAlign w:val="center"/>
          </w:tcPr>
          <w:p w14:paraId="5E0C09A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总投资</w:t>
            </w:r>
          </w:p>
          <w:p w14:paraId="3330A58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（万元）</w:t>
            </w:r>
          </w:p>
        </w:tc>
        <w:tc>
          <w:tcPr>
            <w:tcW w:w="3501" w:type="dxa"/>
            <w:gridSpan w:val="4"/>
            <w:vAlign w:val="center"/>
          </w:tcPr>
          <w:p w14:paraId="7098654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资金来源（万元）</w:t>
            </w:r>
          </w:p>
        </w:tc>
      </w:tr>
      <w:tr w14:paraId="71134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662" w:type="dxa"/>
            <w:vMerge w:val="continue"/>
            <w:vAlign w:val="center"/>
          </w:tcPr>
          <w:p w14:paraId="0FD6636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p>
        </w:tc>
        <w:tc>
          <w:tcPr>
            <w:tcW w:w="1799" w:type="dxa"/>
            <w:vMerge w:val="continue"/>
            <w:vAlign w:val="center"/>
          </w:tcPr>
          <w:p w14:paraId="040BDCA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p>
        </w:tc>
        <w:tc>
          <w:tcPr>
            <w:tcW w:w="965" w:type="dxa"/>
            <w:vMerge w:val="continue"/>
            <w:vAlign w:val="center"/>
          </w:tcPr>
          <w:p w14:paraId="019E060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p>
        </w:tc>
        <w:tc>
          <w:tcPr>
            <w:tcW w:w="756" w:type="dxa"/>
            <w:vAlign w:val="center"/>
          </w:tcPr>
          <w:p w14:paraId="6F65A32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中央资金</w:t>
            </w:r>
          </w:p>
        </w:tc>
        <w:tc>
          <w:tcPr>
            <w:tcW w:w="883" w:type="dxa"/>
            <w:vAlign w:val="center"/>
          </w:tcPr>
          <w:p w14:paraId="76F4828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自治区资金</w:t>
            </w:r>
          </w:p>
        </w:tc>
        <w:tc>
          <w:tcPr>
            <w:tcW w:w="923" w:type="dxa"/>
            <w:vAlign w:val="center"/>
          </w:tcPr>
          <w:p w14:paraId="00748E2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盟级资金</w:t>
            </w:r>
          </w:p>
        </w:tc>
        <w:tc>
          <w:tcPr>
            <w:tcW w:w="939" w:type="dxa"/>
            <w:vAlign w:val="center"/>
          </w:tcPr>
          <w:p w14:paraId="5BB583B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旗级资金</w:t>
            </w:r>
          </w:p>
        </w:tc>
      </w:tr>
      <w:tr w14:paraId="45E57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662" w:type="dxa"/>
            <w:vAlign w:val="center"/>
          </w:tcPr>
          <w:p w14:paraId="3A7015C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洪格尔高勒镇</w:t>
            </w:r>
          </w:p>
        </w:tc>
        <w:tc>
          <w:tcPr>
            <w:tcW w:w="1799" w:type="dxa"/>
            <w:vAlign w:val="center"/>
          </w:tcPr>
          <w:p w14:paraId="1FB94DF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lang w:val="en-US" w:eastAsia="zh-CN"/>
              </w:rPr>
              <w:t>萨如拉锡力嘎查</w:t>
            </w:r>
          </w:p>
        </w:tc>
        <w:tc>
          <w:tcPr>
            <w:tcW w:w="965" w:type="dxa"/>
            <w:vAlign w:val="center"/>
          </w:tcPr>
          <w:p w14:paraId="280D952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125.0</w:t>
            </w:r>
          </w:p>
        </w:tc>
        <w:tc>
          <w:tcPr>
            <w:tcW w:w="756" w:type="dxa"/>
            <w:vAlign w:val="center"/>
          </w:tcPr>
          <w:p w14:paraId="1FB7D9C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70.0</w:t>
            </w:r>
          </w:p>
        </w:tc>
        <w:tc>
          <w:tcPr>
            <w:tcW w:w="883" w:type="dxa"/>
            <w:vAlign w:val="center"/>
          </w:tcPr>
          <w:p w14:paraId="5DD3CC5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30.0</w:t>
            </w:r>
          </w:p>
        </w:tc>
        <w:tc>
          <w:tcPr>
            <w:tcW w:w="923" w:type="dxa"/>
            <w:vAlign w:val="center"/>
          </w:tcPr>
          <w:p w14:paraId="07A558F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12.5</w:t>
            </w:r>
          </w:p>
        </w:tc>
        <w:tc>
          <w:tcPr>
            <w:tcW w:w="939" w:type="dxa"/>
            <w:vAlign w:val="center"/>
          </w:tcPr>
          <w:p w14:paraId="6EBBD68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12.5</w:t>
            </w:r>
          </w:p>
        </w:tc>
      </w:tr>
      <w:tr w14:paraId="70E38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662" w:type="dxa"/>
            <w:vAlign w:val="center"/>
          </w:tcPr>
          <w:p w14:paraId="65DEAA9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那仁宝拉格苏木</w:t>
            </w:r>
          </w:p>
        </w:tc>
        <w:tc>
          <w:tcPr>
            <w:tcW w:w="1799" w:type="dxa"/>
            <w:vAlign w:val="center"/>
          </w:tcPr>
          <w:p w14:paraId="51B65E9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阿木古楞嘎查</w:t>
            </w:r>
          </w:p>
        </w:tc>
        <w:tc>
          <w:tcPr>
            <w:tcW w:w="965" w:type="dxa"/>
            <w:vAlign w:val="center"/>
          </w:tcPr>
          <w:p w14:paraId="737D754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125.0</w:t>
            </w:r>
          </w:p>
        </w:tc>
        <w:tc>
          <w:tcPr>
            <w:tcW w:w="756" w:type="dxa"/>
            <w:vAlign w:val="center"/>
          </w:tcPr>
          <w:p w14:paraId="01FD3AF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70</w:t>
            </w:r>
          </w:p>
        </w:tc>
        <w:tc>
          <w:tcPr>
            <w:tcW w:w="883" w:type="dxa"/>
            <w:vAlign w:val="center"/>
          </w:tcPr>
          <w:p w14:paraId="6046587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30</w:t>
            </w:r>
          </w:p>
        </w:tc>
        <w:tc>
          <w:tcPr>
            <w:tcW w:w="923" w:type="dxa"/>
            <w:vAlign w:val="center"/>
          </w:tcPr>
          <w:p w14:paraId="2970179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12.5</w:t>
            </w:r>
          </w:p>
        </w:tc>
        <w:tc>
          <w:tcPr>
            <w:tcW w:w="939" w:type="dxa"/>
            <w:vAlign w:val="center"/>
          </w:tcPr>
          <w:p w14:paraId="424D2CB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12.5</w:t>
            </w:r>
          </w:p>
        </w:tc>
      </w:tr>
      <w:tr w14:paraId="5E13A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662" w:type="dxa"/>
            <w:vAlign w:val="center"/>
          </w:tcPr>
          <w:p w14:paraId="10D5D3D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洪格尔高勒镇</w:t>
            </w:r>
          </w:p>
        </w:tc>
        <w:tc>
          <w:tcPr>
            <w:tcW w:w="1799" w:type="dxa"/>
            <w:vAlign w:val="center"/>
          </w:tcPr>
          <w:p w14:paraId="5A8B5FD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哈夏图嘎查</w:t>
            </w:r>
          </w:p>
        </w:tc>
        <w:tc>
          <w:tcPr>
            <w:tcW w:w="965" w:type="dxa"/>
            <w:vAlign w:val="center"/>
          </w:tcPr>
          <w:p w14:paraId="1A8D3F8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125.0</w:t>
            </w:r>
          </w:p>
        </w:tc>
        <w:tc>
          <w:tcPr>
            <w:tcW w:w="756" w:type="dxa"/>
            <w:vAlign w:val="center"/>
          </w:tcPr>
          <w:p w14:paraId="52ABF05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0</w:t>
            </w:r>
          </w:p>
        </w:tc>
        <w:tc>
          <w:tcPr>
            <w:tcW w:w="883" w:type="dxa"/>
            <w:vAlign w:val="center"/>
          </w:tcPr>
          <w:p w14:paraId="5E4D802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70</w:t>
            </w:r>
          </w:p>
        </w:tc>
        <w:tc>
          <w:tcPr>
            <w:tcW w:w="923" w:type="dxa"/>
            <w:vAlign w:val="center"/>
          </w:tcPr>
          <w:p w14:paraId="03B843D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35</w:t>
            </w:r>
          </w:p>
        </w:tc>
        <w:tc>
          <w:tcPr>
            <w:tcW w:w="939" w:type="dxa"/>
            <w:vAlign w:val="center"/>
          </w:tcPr>
          <w:p w14:paraId="348D1D8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20</w:t>
            </w:r>
          </w:p>
        </w:tc>
      </w:tr>
      <w:tr w14:paraId="3B46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662" w:type="dxa"/>
            <w:vAlign w:val="center"/>
          </w:tcPr>
          <w:p w14:paraId="17CC9EF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查干淖尔镇</w:t>
            </w:r>
          </w:p>
        </w:tc>
        <w:tc>
          <w:tcPr>
            <w:tcW w:w="1799" w:type="dxa"/>
            <w:vAlign w:val="center"/>
          </w:tcPr>
          <w:p w14:paraId="0835356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乌日根温都日拉嘎查</w:t>
            </w:r>
          </w:p>
        </w:tc>
        <w:tc>
          <w:tcPr>
            <w:tcW w:w="965" w:type="dxa"/>
            <w:vAlign w:val="center"/>
          </w:tcPr>
          <w:p w14:paraId="4868FFB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125.0</w:t>
            </w:r>
          </w:p>
        </w:tc>
        <w:tc>
          <w:tcPr>
            <w:tcW w:w="756" w:type="dxa"/>
            <w:vAlign w:val="center"/>
          </w:tcPr>
          <w:p w14:paraId="4DDFCB0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0</w:t>
            </w:r>
          </w:p>
        </w:tc>
        <w:tc>
          <w:tcPr>
            <w:tcW w:w="883" w:type="dxa"/>
            <w:vAlign w:val="center"/>
          </w:tcPr>
          <w:p w14:paraId="5647C60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70</w:t>
            </w:r>
          </w:p>
        </w:tc>
        <w:tc>
          <w:tcPr>
            <w:tcW w:w="923" w:type="dxa"/>
            <w:vAlign w:val="center"/>
          </w:tcPr>
          <w:p w14:paraId="7E7C784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35</w:t>
            </w:r>
          </w:p>
        </w:tc>
        <w:tc>
          <w:tcPr>
            <w:tcW w:w="939" w:type="dxa"/>
            <w:vAlign w:val="center"/>
          </w:tcPr>
          <w:p w14:paraId="03C674B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2"/>
                <w:szCs w:val="22"/>
                <w:vertAlign w:val="baseline"/>
                <w:lang w:val="en-US" w:eastAsia="zh-CN" w:bidi="ar-SA"/>
              </w:rPr>
            </w:pPr>
            <w:r>
              <w:rPr>
                <w:rFonts w:hint="eastAsia" w:ascii="仿宋" w:hAnsi="仿宋" w:eastAsia="仿宋" w:cs="仿宋"/>
                <w:sz w:val="22"/>
                <w:szCs w:val="22"/>
                <w:vertAlign w:val="baseline"/>
                <w:lang w:val="en-US" w:eastAsia="zh-CN"/>
              </w:rPr>
              <w:t>20</w:t>
            </w:r>
          </w:p>
        </w:tc>
      </w:tr>
      <w:tr w14:paraId="17483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61" w:type="dxa"/>
            <w:gridSpan w:val="2"/>
            <w:vAlign w:val="center"/>
          </w:tcPr>
          <w:p w14:paraId="2759E48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合计</w:t>
            </w:r>
          </w:p>
        </w:tc>
        <w:tc>
          <w:tcPr>
            <w:tcW w:w="965" w:type="dxa"/>
            <w:vAlign w:val="center"/>
          </w:tcPr>
          <w:p w14:paraId="008FFCA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500</w:t>
            </w:r>
          </w:p>
        </w:tc>
        <w:tc>
          <w:tcPr>
            <w:tcW w:w="756" w:type="dxa"/>
            <w:vAlign w:val="center"/>
          </w:tcPr>
          <w:p w14:paraId="467D3E5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140</w:t>
            </w:r>
          </w:p>
        </w:tc>
        <w:tc>
          <w:tcPr>
            <w:tcW w:w="883" w:type="dxa"/>
            <w:vAlign w:val="center"/>
          </w:tcPr>
          <w:p w14:paraId="1884F3E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200</w:t>
            </w:r>
          </w:p>
        </w:tc>
        <w:tc>
          <w:tcPr>
            <w:tcW w:w="923" w:type="dxa"/>
            <w:vAlign w:val="center"/>
          </w:tcPr>
          <w:p w14:paraId="1E218F3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95</w:t>
            </w:r>
          </w:p>
        </w:tc>
        <w:tc>
          <w:tcPr>
            <w:tcW w:w="939" w:type="dxa"/>
            <w:vAlign w:val="center"/>
          </w:tcPr>
          <w:p w14:paraId="0C0B7A1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65</w:t>
            </w:r>
          </w:p>
        </w:tc>
      </w:tr>
    </w:tbl>
    <w:p w14:paraId="043FF6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六、项目</w:t>
      </w:r>
      <w:r>
        <w:rPr>
          <w:rFonts w:hint="eastAsia" w:ascii="黑体" w:hAnsi="黑体" w:eastAsia="黑体" w:cs="黑体"/>
          <w:sz w:val="32"/>
          <w:szCs w:val="32"/>
          <w:lang w:val="en-US" w:eastAsia="zh-CN"/>
        </w:rPr>
        <w:t>主管部门和</w:t>
      </w:r>
      <w:r>
        <w:rPr>
          <w:rFonts w:hint="default" w:ascii="黑体" w:hAnsi="黑体" w:eastAsia="黑体" w:cs="黑体"/>
          <w:sz w:val="32"/>
          <w:szCs w:val="32"/>
          <w:lang w:val="en-US" w:eastAsia="zh-CN"/>
        </w:rPr>
        <w:t>实施单位</w:t>
      </w:r>
    </w:p>
    <w:p w14:paraId="12C4B33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（一）项目主管部门：阿巴嘎旗农牧和科技局</w:t>
      </w:r>
    </w:p>
    <w:p w14:paraId="1220457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（二）项目实施单位：</w:t>
      </w:r>
    </w:p>
    <w:p w14:paraId="695D2B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1、萨如拉锡力嘎查2025年发展新型农村牧区集体经济项目实施单位：洪格尔高勒镇人民政府</w:t>
      </w:r>
    </w:p>
    <w:p w14:paraId="70E5937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2、阿木古楞嘎查2025年发展新型农村牧区集体经济项目实施单位：那仁宝拉格苏木人民政府</w:t>
      </w:r>
    </w:p>
    <w:p w14:paraId="2C8E827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3、哈夏图嘎查2025年发展新型农村牧区集体经济项目实施单位：洪格尔高勒镇人民政府</w:t>
      </w:r>
    </w:p>
    <w:p w14:paraId="3AE41C9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4、乌日根温都日勒嘎查2025年发展新型农村牧区集体经济项目实施单位：查干淖尔镇人民政府</w:t>
      </w:r>
    </w:p>
    <w:p w14:paraId="35BDFA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七、项目负责人</w:t>
      </w:r>
    </w:p>
    <w:p w14:paraId="367AAB0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洪格尔高勒镇人民政府项目负责人：苏那旗</w:t>
      </w:r>
    </w:p>
    <w:p w14:paraId="0827BB6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查干淖尔镇人民政府项目负责人：锡林</w:t>
      </w:r>
    </w:p>
    <w:p w14:paraId="5A6A976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那仁宝拉格苏木人民政府项目负责人：额日登宝力格</w:t>
      </w:r>
    </w:p>
    <w:p w14:paraId="6C002A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八、项目性质</w:t>
      </w:r>
    </w:p>
    <w:p w14:paraId="669E817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新建</w:t>
      </w:r>
    </w:p>
    <w:p w14:paraId="36DA60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九、项目期限</w:t>
      </w:r>
    </w:p>
    <w:p w14:paraId="707530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拟定项目建设周期为：202</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lang w:val="en-US" w:eastAsia="zh-CN"/>
        </w:rPr>
        <w:t>6</w:t>
      </w:r>
      <w:r>
        <w:rPr>
          <w:rFonts w:hint="default"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202</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lang w:val="en-US" w:eastAsia="zh-CN"/>
        </w:rPr>
        <w:t>11</w:t>
      </w:r>
      <w:r>
        <w:rPr>
          <w:rFonts w:hint="default"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lang w:val="en-US" w:eastAsia="zh-CN"/>
        </w:rPr>
        <w:t>。</w:t>
      </w:r>
    </w:p>
    <w:p w14:paraId="7EEA63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color w:val="auto"/>
          <w:sz w:val="32"/>
          <w:szCs w:val="32"/>
          <w:lang w:val="en-US" w:eastAsia="zh-CN"/>
        </w:rPr>
      </w:pPr>
      <w:r>
        <w:rPr>
          <w:rFonts w:hint="default" w:ascii="黑体" w:hAnsi="黑体" w:eastAsia="黑体" w:cs="黑体"/>
          <w:color w:val="auto"/>
          <w:sz w:val="32"/>
          <w:szCs w:val="32"/>
          <w:lang w:val="en-US" w:eastAsia="zh-CN"/>
        </w:rPr>
        <w:t>十、实施内容</w:t>
      </w:r>
    </w:p>
    <w:p w14:paraId="38ABDF51">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 w:hAnsi="仿宋" w:eastAsia="仿宋" w:cs="仿宋"/>
          <w:b/>
          <w:bCs/>
          <w:color w:val="auto"/>
          <w:sz w:val="32"/>
          <w:szCs w:val="32"/>
          <w:lang w:val="en-US" w:eastAsia="zh-CN"/>
        </w:rPr>
        <w:t>1、洪格尔高勒镇萨如拉锡力嘎查2025年发展新型农村牧区集体经济项目。</w:t>
      </w:r>
      <w:r>
        <w:rPr>
          <w:rFonts w:hint="eastAsia" w:ascii="仿宋_GB2312" w:hAnsi="仿宋_GB2312" w:eastAsia="仿宋_GB2312" w:cs="仿宋_GB2312"/>
          <w:sz w:val="32"/>
          <w:szCs w:val="32"/>
          <w:lang w:val="en-US" w:eastAsia="zh-CN"/>
        </w:rPr>
        <w:t>计划投入125万元。其中：投入40万元新建2000平方米年产量5万吨生产生物质燃料加工厂一处；投入85万元采购粉碎机1台、大型压缩颗粒机1台，破碎机1台、烘干机1台，传送带1台等。项目建成后资产产权归嘎查所有，与内蒙古蒙特鑫生物科技有限责任公司合作，收购本嘎查及周边嘎查牛羊粪加工成生物燃料，将产品销售给驻地企业冀东水泥供热需求。</w:t>
      </w:r>
    </w:p>
    <w:p w14:paraId="19F07C3F">
      <w:pPr>
        <w:pStyle w:val="10"/>
        <w:keepNext w:val="0"/>
        <w:keepLines w:val="0"/>
        <w:pageBreakBefore w:val="0"/>
        <w:widowControl w:val="0"/>
        <w:kinsoku/>
        <w:wordWrap/>
        <w:overflowPunct/>
        <w:topLinePunct w:val="0"/>
        <w:autoSpaceDE/>
        <w:autoSpaceDN/>
        <w:bidi w:val="0"/>
        <w:adjustRightInd/>
        <w:snapToGrid/>
        <w:spacing w:after="0" w:line="240" w:lineRule="auto"/>
        <w:ind w:left="0" w:leftChars="0"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color w:val="auto"/>
          <w:sz w:val="32"/>
          <w:szCs w:val="32"/>
          <w:lang w:val="en-US" w:eastAsia="zh-CN"/>
        </w:rPr>
        <w:t>2、那仁宝拉格苏木阿木古楞嘎查2025年发展新型农村牧区集体经济项目。</w:t>
      </w:r>
      <w:r>
        <w:rPr>
          <w:rFonts w:hint="eastAsia" w:ascii="仿宋_GB2312" w:hAnsi="仿宋_GB2312" w:eastAsia="仿宋_GB2312" w:cs="仿宋_GB2312"/>
          <w:kern w:val="2"/>
          <w:sz w:val="32"/>
          <w:szCs w:val="32"/>
          <w:lang w:val="en-US" w:eastAsia="zh-CN" w:bidi="ar-SA"/>
        </w:rPr>
        <w:t>计划投入125万元，在旗所在地购置商业用房一处，直销畜产品。项目建成后资产产权归嘎查所有。</w:t>
      </w:r>
    </w:p>
    <w:p w14:paraId="09FBA6A3">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color w:val="auto"/>
          <w:sz w:val="32"/>
          <w:szCs w:val="32"/>
          <w:lang w:val="en-US" w:eastAsia="zh-CN"/>
        </w:rPr>
        <w:t>3、洪格尔高勒镇哈夏图嘎查2025年发展新型农村牧区集体经济项目。</w:t>
      </w:r>
      <w:r>
        <w:rPr>
          <w:rFonts w:hint="eastAsia" w:ascii="仿宋_GB2312" w:hAnsi="仿宋_GB2312" w:eastAsia="仿宋_GB2312" w:cs="仿宋_GB2312"/>
          <w:kern w:val="2"/>
          <w:sz w:val="32"/>
          <w:szCs w:val="32"/>
          <w:lang w:val="en-US" w:eastAsia="zh-CN" w:bidi="ar-SA"/>
        </w:rPr>
        <w:t>计划投入125万元，在锡林浩特市购置200平方米左右商业场地经营畜产品营销中心，销售本嘎查及周边嘎查牧民畜产品、本地区特色产品。</w:t>
      </w:r>
    </w:p>
    <w:p w14:paraId="79AAA72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kern w:val="2"/>
          <w:sz w:val="32"/>
          <w:szCs w:val="32"/>
          <w:lang w:val="en-US" w:eastAsia="zh-CN" w:bidi="ar-SA"/>
        </w:rPr>
      </w:pPr>
      <w:r>
        <w:rPr>
          <w:rFonts w:hint="eastAsia" w:ascii="仿宋" w:hAnsi="仿宋" w:eastAsia="仿宋" w:cs="仿宋"/>
          <w:b/>
          <w:bCs/>
          <w:color w:val="auto"/>
          <w:sz w:val="32"/>
          <w:szCs w:val="32"/>
          <w:lang w:val="en-US" w:eastAsia="zh-CN"/>
        </w:rPr>
        <w:t>4、查干淖尔镇乌日根温都日勒嘎查2025年发展新型农村牧区集体经济项目。</w:t>
      </w:r>
      <w:r>
        <w:rPr>
          <w:rFonts w:hint="eastAsia" w:ascii="仿宋_GB2312" w:hAnsi="仿宋_GB2312" w:eastAsia="仿宋_GB2312" w:cs="仿宋_GB2312"/>
          <w:kern w:val="2"/>
          <w:sz w:val="32"/>
          <w:szCs w:val="32"/>
          <w:lang w:val="en-US" w:eastAsia="zh-CN" w:bidi="ar-SA"/>
        </w:rPr>
        <w:t>计划投入125万元，实施发展嘎查集体特色民宿旅游产业项目，其中：投入78万元，购置安装可移动式太空舱房屋6套，计划投入26万元，购置安装8个哈那蒙古包2顶，投入12万元，购置安装可移动式卫生间2处，投入9万元，购置厨房设备1套。</w:t>
      </w:r>
    </w:p>
    <w:p w14:paraId="048DF01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outlineLvl w:val="0"/>
        <w:rPr>
          <w:rFonts w:hint="eastAsia" w:ascii="黑体" w:hAnsi="黑体" w:eastAsia="黑体" w:cs="黑体"/>
          <w:color w:val="auto"/>
          <w:sz w:val="32"/>
          <w:szCs w:val="32"/>
          <w:lang w:val="en-US" w:eastAsia="zh-CN"/>
        </w:rPr>
      </w:pPr>
      <w:bookmarkStart w:id="0" w:name="_Toc30678"/>
      <w:r>
        <w:rPr>
          <w:rFonts w:hint="eastAsia" w:ascii="黑体" w:hAnsi="黑体" w:eastAsia="黑体" w:cs="黑体"/>
          <w:color w:val="auto"/>
          <w:sz w:val="32"/>
          <w:szCs w:val="32"/>
          <w:lang w:val="en-US" w:eastAsia="zh-CN"/>
        </w:rPr>
        <w:t>十一、项目地区基本情况</w:t>
      </w:r>
      <w:bookmarkEnd w:id="0"/>
    </w:p>
    <w:p w14:paraId="4824EF5D">
      <w:pPr>
        <w:keepNext w:val="0"/>
        <w:keepLines w:val="0"/>
        <w:pageBreakBefore w:val="0"/>
        <w:widowControl w:val="0"/>
        <w:kinsoku/>
        <w:wordWrap/>
        <w:overflowPunct/>
        <w:topLinePunct w:val="0"/>
        <w:autoSpaceDE/>
        <w:autoSpaceDN/>
        <w:bidi w:val="0"/>
        <w:adjustRightInd/>
        <w:snapToGrid/>
        <w:spacing w:line="240" w:lineRule="auto"/>
        <w:ind w:firstLine="643" w:firstLineChars="200"/>
        <w:jc w:val="left"/>
        <w:textAlignment w:val="auto"/>
        <w:rPr>
          <w:rFonts w:hint="eastAsia" w:ascii="仿宋" w:hAnsi="仿宋" w:eastAsia="仿宋" w:cs="仿宋"/>
          <w:color w:val="auto"/>
          <w:sz w:val="32"/>
          <w:szCs w:val="32"/>
          <w:highlight w:val="yellow"/>
          <w:lang w:val="en-US" w:eastAsia="zh-CN"/>
        </w:rPr>
      </w:pPr>
      <w:r>
        <w:rPr>
          <w:rFonts w:hint="eastAsia" w:ascii="楷体" w:hAnsi="楷体" w:eastAsia="楷体" w:cs="楷体"/>
          <w:b/>
          <w:bCs/>
          <w:color w:val="auto"/>
          <w:sz w:val="32"/>
          <w:szCs w:val="32"/>
          <w:lang w:val="en-US" w:eastAsia="zh-CN"/>
        </w:rPr>
        <w:t>（一）洪格尔高勒镇萨如拉锡力嘎查基本概况。</w:t>
      </w:r>
      <w:r>
        <w:rPr>
          <w:rFonts w:hint="eastAsia" w:ascii="仿宋" w:hAnsi="仿宋" w:eastAsia="仿宋" w:cs="仿宋"/>
          <w:color w:val="auto"/>
          <w:sz w:val="32"/>
          <w:szCs w:val="32"/>
          <w:lang w:val="en-US" w:eastAsia="zh-CN"/>
        </w:rPr>
        <w:t>萨如拉锡力嘎查位于阿巴嘎旗东南部，距旗政府所在地别力古台镇140公里，距洪格尔高勒镇所在地杨都庙40公里。萨如拉锡力嘎查土地总面积37.6万亩，是阿巴嘎旗天然牧场之一，嘎查“两委”共7人，“两委”成员平均年龄42.8岁。嘎查总牧户119户316人，常住人口70户256人，其中脱贫人口17户51人、低保8户10人。</w:t>
      </w:r>
      <w:r>
        <w:rPr>
          <w:rFonts w:hint="eastAsia" w:ascii="仿宋" w:hAnsi="仿宋" w:eastAsia="仿宋" w:cs="仿宋"/>
          <w:color w:val="auto"/>
          <w:sz w:val="32"/>
          <w:szCs w:val="32"/>
          <w:highlight w:val="none"/>
          <w:lang w:val="en-US" w:eastAsia="zh-CN"/>
        </w:rPr>
        <w:t>2024年度牧业年度牲畜头数10784头只，其中大畜2283头，小畜8501只。嘎查集体所有的草场0.9万亩。近年来，萨如拉锡力嘎查高度重视集体经济发展，结合深入实施乡村振兴战略，通过挖掘嘎查集体经济发展潜力，通过“党支部+合作社+牧户”方式，成立阿巴嘎旗蒙速牲畜经营服务站，为牧民提供冷配服务，优化畜群结构，并把嘎查集体经济合作社74头西门塔尔母牛低价租赁给嘎查牧民，实现了便民服务与牧户、集体增收的双赢局面。2024年嘎查集体经济收入达到18.39万元，为嘎查的牧区现代化建设奠定了坚实的基础。</w:t>
      </w:r>
    </w:p>
    <w:p w14:paraId="292E9444">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color w:val="000000"/>
          <w:kern w:val="0"/>
          <w:sz w:val="32"/>
          <w:szCs w:val="32"/>
          <w:highlight w:val="none"/>
          <w:u w:val="none"/>
          <w:lang w:val="en-US" w:eastAsia="zh-CN" w:bidi="ar"/>
        </w:rPr>
      </w:pPr>
      <w:r>
        <w:rPr>
          <w:rFonts w:hint="eastAsia" w:ascii="仿宋" w:hAnsi="仿宋" w:eastAsia="仿宋" w:cs="仿宋"/>
          <w:color w:val="auto"/>
          <w:sz w:val="32"/>
          <w:szCs w:val="32"/>
          <w:lang w:val="en-US" w:eastAsia="zh-CN"/>
        </w:rPr>
        <w:t>（二）</w:t>
      </w:r>
      <w:r>
        <w:rPr>
          <w:rFonts w:hint="eastAsia" w:ascii="仿宋" w:hAnsi="仿宋" w:eastAsia="仿宋" w:cs="仿宋"/>
          <w:b/>
          <w:bCs/>
          <w:sz w:val="32"/>
          <w:szCs w:val="32"/>
          <w:lang w:val="en-US" w:eastAsia="zh-CN"/>
        </w:rPr>
        <w:t>那仁宝拉格苏木阿木古楞嘎查</w:t>
      </w:r>
      <w:r>
        <w:rPr>
          <w:rFonts w:hint="eastAsia" w:ascii="楷体" w:hAnsi="楷体" w:eastAsia="楷体" w:cs="楷体"/>
          <w:b/>
          <w:bCs/>
          <w:color w:val="auto"/>
          <w:sz w:val="32"/>
          <w:szCs w:val="32"/>
          <w:lang w:val="en-US" w:eastAsia="zh-CN"/>
        </w:rPr>
        <w:t>基本概况。</w:t>
      </w:r>
      <w:r>
        <w:rPr>
          <w:rFonts w:hint="eastAsia" w:ascii="仿宋" w:hAnsi="仿宋" w:eastAsia="仿宋" w:cs="仿宋"/>
          <w:b w:val="0"/>
          <w:bCs w:val="0"/>
          <w:color w:val="auto"/>
          <w:sz w:val="32"/>
          <w:szCs w:val="32"/>
          <w:highlight w:val="none"/>
          <w:lang w:val="en-US" w:eastAsia="zh-CN"/>
        </w:rPr>
        <w:t>阿</w:t>
      </w:r>
      <w:r>
        <w:rPr>
          <w:rFonts w:hint="eastAsia" w:ascii="仿宋" w:hAnsi="仿宋" w:eastAsia="仿宋" w:cs="仿宋"/>
          <w:color w:val="auto"/>
          <w:sz w:val="32"/>
          <w:szCs w:val="32"/>
          <w:highlight w:val="none"/>
          <w:lang w:val="en-US" w:eastAsia="zh-CN"/>
        </w:rPr>
        <w:t>木古楞嘎查为我旗抵边嘎查，户籍人口</w:t>
      </w:r>
      <w:r>
        <w:rPr>
          <w:rFonts w:hint="eastAsia" w:ascii="仿宋" w:hAnsi="仿宋" w:eastAsia="仿宋" w:cs="仿宋"/>
          <w:color w:val="auto"/>
          <w:sz w:val="32"/>
          <w:szCs w:val="32"/>
          <w:highlight w:val="none"/>
        </w:rPr>
        <w:t>9</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户292人，其中常住户</w:t>
      </w:r>
      <w:r>
        <w:rPr>
          <w:rFonts w:hint="eastAsia" w:ascii="仿宋" w:hAnsi="仿宋" w:eastAsia="仿宋" w:cs="仿宋"/>
          <w:color w:val="auto"/>
          <w:sz w:val="32"/>
          <w:szCs w:val="32"/>
          <w:highlight w:val="none"/>
          <w:lang w:val="en-US" w:eastAsia="zh-CN"/>
        </w:rPr>
        <w:t>57</w:t>
      </w:r>
      <w:r>
        <w:rPr>
          <w:rFonts w:hint="eastAsia" w:ascii="仿宋" w:hAnsi="仿宋" w:eastAsia="仿宋" w:cs="仿宋"/>
          <w:color w:val="auto"/>
          <w:sz w:val="32"/>
          <w:szCs w:val="32"/>
          <w:highlight w:val="none"/>
        </w:rPr>
        <w:t>户</w:t>
      </w:r>
      <w:r>
        <w:rPr>
          <w:rFonts w:hint="eastAsia" w:ascii="仿宋" w:hAnsi="仿宋" w:eastAsia="仿宋" w:cs="仿宋"/>
          <w:color w:val="auto"/>
          <w:sz w:val="32"/>
          <w:szCs w:val="32"/>
          <w:highlight w:val="none"/>
          <w:lang w:val="en-US" w:eastAsia="zh-CN"/>
        </w:rPr>
        <w:t>180</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lang w:val="en-US" w:eastAsia="zh-CN"/>
        </w:rPr>
        <w:t>脱贫户3户9人，</w:t>
      </w:r>
      <w:r>
        <w:rPr>
          <w:rFonts w:hint="eastAsia" w:ascii="仿宋" w:hAnsi="仿宋" w:eastAsia="仿宋" w:cs="仿宋"/>
          <w:color w:val="auto"/>
          <w:sz w:val="32"/>
          <w:szCs w:val="32"/>
          <w:highlight w:val="none"/>
        </w:rPr>
        <w:t>低保户</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户</w:t>
      </w:r>
      <w:r>
        <w:rPr>
          <w:rFonts w:hint="eastAsia" w:ascii="仿宋" w:hAnsi="仿宋" w:eastAsia="仿宋" w:cs="仿宋"/>
          <w:color w:val="auto"/>
          <w:sz w:val="32"/>
          <w:szCs w:val="32"/>
          <w:highlight w:val="none"/>
          <w:lang w:val="en-US" w:eastAsia="zh-CN"/>
        </w:rPr>
        <w:t>14</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嘎查</w:t>
      </w:r>
      <w:r>
        <w:rPr>
          <w:rFonts w:hint="eastAsia" w:ascii="仿宋" w:hAnsi="仿宋" w:eastAsia="仿宋" w:cs="仿宋"/>
          <w:color w:val="auto"/>
          <w:sz w:val="32"/>
          <w:szCs w:val="32"/>
          <w:lang w:val="en-US" w:eastAsia="zh-CN"/>
        </w:rPr>
        <w:t>“两委”共6人，平均年龄39岁，</w:t>
      </w:r>
      <w:r>
        <w:rPr>
          <w:rFonts w:hint="eastAsia" w:ascii="仿宋" w:hAnsi="仿宋" w:eastAsia="仿宋" w:cs="仿宋"/>
          <w:color w:val="000000"/>
          <w:kern w:val="0"/>
          <w:sz w:val="32"/>
          <w:szCs w:val="32"/>
          <w:highlight w:val="none"/>
          <w:u w:val="none"/>
          <w:lang w:val="en-US" w:eastAsia="zh-CN" w:bidi="ar"/>
        </w:rPr>
        <w:t>2024年度牲畜总头数为11873头只，其中大畜2627头、小畜9246只。</w:t>
      </w:r>
      <w:r>
        <w:rPr>
          <w:rFonts w:hint="eastAsia" w:ascii="仿宋" w:hAnsi="仿宋" w:eastAsia="仿宋" w:cs="仿宋"/>
          <w:color w:val="auto"/>
          <w:sz w:val="32"/>
          <w:szCs w:val="32"/>
          <w:highlight w:val="none"/>
          <w:lang w:val="en-US" w:eastAsia="zh-CN"/>
        </w:rPr>
        <w:t>嘎查集体草场0.9万亩，近年来，阿木古楞嘎查高度重视集体经济发展，优化畜群结构，把嘎查集体经济合作社29头西门塔尔母牛租赁给嘎查牧民，实现牧户、集体增收的双赢局面，2024年嘎查集体经济收入达到15万元。</w:t>
      </w:r>
    </w:p>
    <w:p w14:paraId="23A95C4E">
      <w:pPr>
        <w:keepNext w:val="0"/>
        <w:keepLines w:val="0"/>
        <w:pageBreakBefore w:val="0"/>
        <w:widowControl w:val="0"/>
        <w:kinsoku/>
        <w:wordWrap/>
        <w:overflowPunct/>
        <w:topLinePunct w:val="0"/>
        <w:autoSpaceDE/>
        <w:autoSpaceDN/>
        <w:bidi w:val="0"/>
        <w:adjustRightInd/>
        <w:snapToGrid/>
        <w:spacing w:line="240" w:lineRule="auto"/>
        <w:ind w:firstLine="643" w:firstLineChars="200"/>
        <w:jc w:val="both"/>
        <w:textAlignment w:val="auto"/>
        <w:rPr>
          <w:rFonts w:hint="eastAsia" w:ascii="方正书宋_GBK" w:hAnsi="方正书宋_GBK" w:eastAsia="方正书宋_GBK" w:cs="方正书宋_GBK"/>
          <w:color w:val="auto"/>
          <w:sz w:val="24"/>
          <w:szCs w:val="24"/>
          <w:highlight w:val="red"/>
          <w:lang w:val="en-US" w:eastAsia="zh-CN"/>
        </w:rPr>
      </w:pPr>
      <w:r>
        <w:rPr>
          <w:rFonts w:hint="eastAsia" w:ascii="仿宋" w:hAnsi="仿宋" w:eastAsia="仿宋" w:cs="仿宋"/>
          <w:b/>
          <w:bCs/>
          <w:sz w:val="32"/>
          <w:szCs w:val="32"/>
          <w:lang w:val="en-US" w:eastAsia="zh-CN"/>
        </w:rPr>
        <w:t>（三）洪格尔高勒镇哈夏图嘎查</w:t>
      </w:r>
      <w:r>
        <w:rPr>
          <w:rFonts w:hint="eastAsia" w:ascii="仿宋" w:hAnsi="仿宋" w:eastAsia="仿宋" w:cs="仿宋"/>
          <w:b/>
          <w:bCs/>
          <w:color w:val="auto"/>
          <w:sz w:val="32"/>
          <w:szCs w:val="32"/>
          <w:lang w:val="en-US" w:eastAsia="zh-CN"/>
        </w:rPr>
        <w:t>基本概况。</w:t>
      </w:r>
      <w:r>
        <w:rPr>
          <w:rFonts w:hint="eastAsia" w:ascii="仿宋" w:hAnsi="仿宋" w:eastAsia="仿宋" w:cs="仿宋"/>
          <w:color w:val="auto"/>
          <w:sz w:val="32"/>
          <w:szCs w:val="32"/>
          <w:lang w:val="en-US" w:eastAsia="zh-CN"/>
        </w:rPr>
        <w:t>哈夏图嘎查位于阿巴嘎旗东南部，距旗政府所在地别力古台镇144公里，距洪格尔高勒镇所在地杨都庙14公里。哈夏图嘎查土地总面积41.3万亩，其中集体草场面</w:t>
      </w:r>
      <w:r>
        <w:rPr>
          <w:rFonts w:hint="eastAsia" w:ascii="仿宋" w:hAnsi="仿宋" w:eastAsia="仿宋" w:cs="仿宋"/>
          <w:color w:val="auto"/>
          <w:sz w:val="32"/>
          <w:szCs w:val="32"/>
          <w:highlight w:val="none"/>
          <w:lang w:val="en-US" w:eastAsia="zh-CN"/>
        </w:rPr>
        <w:t>积13.5万</w:t>
      </w:r>
      <w:r>
        <w:rPr>
          <w:rFonts w:hint="eastAsia" w:ascii="仿宋" w:hAnsi="仿宋" w:eastAsia="仿宋" w:cs="仿宋"/>
          <w:color w:val="auto"/>
          <w:sz w:val="32"/>
          <w:szCs w:val="32"/>
          <w:lang w:val="en-US" w:eastAsia="zh-CN"/>
        </w:rPr>
        <w:t>亩，嘎查总牧</w:t>
      </w:r>
      <w:r>
        <w:rPr>
          <w:rFonts w:hint="eastAsia" w:ascii="仿宋" w:hAnsi="仿宋" w:eastAsia="仿宋" w:cs="仿宋"/>
          <w:color w:val="auto"/>
          <w:sz w:val="32"/>
          <w:szCs w:val="32"/>
          <w:highlight w:val="none"/>
          <w:lang w:val="en-US" w:eastAsia="zh-CN"/>
        </w:rPr>
        <w:t>户130户318</w:t>
      </w:r>
      <w:r>
        <w:rPr>
          <w:rFonts w:hint="eastAsia" w:ascii="仿宋" w:hAnsi="仿宋" w:eastAsia="仿宋" w:cs="仿宋"/>
          <w:sz w:val="32"/>
          <w:szCs w:val="32"/>
        </w:rPr>
        <w:t>人</w:t>
      </w:r>
      <w:r>
        <w:rPr>
          <w:rFonts w:hint="eastAsia" w:ascii="仿宋" w:hAnsi="仿宋" w:eastAsia="仿宋" w:cs="仿宋"/>
          <w:color w:val="auto"/>
          <w:sz w:val="32"/>
          <w:szCs w:val="32"/>
          <w:lang w:val="en-US" w:eastAsia="zh-CN"/>
        </w:rPr>
        <w:t>，常住人口70户228人</w:t>
      </w:r>
      <w:r>
        <w:rPr>
          <w:rFonts w:hint="eastAsia" w:ascii="仿宋" w:hAnsi="仿宋" w:eastAsia="仿宋" w:cs="仿宋"/>
          <w:color w:val="auto"/>
          <w:sz w:val="32"/>
          <w:szCs w:val="32"/>
          <w:highlight w:val="none"/>
          <w:lang w:val="en-US" w:eastAsia="zh-CN"/>
        </w:rPr>
        <w:t>，脱贫人口5户9人、低保5户5人，特困供养1人。嘎查</w:t>
      </w:r>
      <w:r>
        <w:rPr>
          <w:rFonts w:hint="eastAsia" w:ascii="仿宋" w:hAnsi="仿宋" w:eastAsia="仿宋" w:cs="仿宋"/>
          <w:color w:val="auto"/>
          <w:sz w:val="32"/>
          <w:szCs w:val="32"/>
          <w:lang w:val="en-US" w:eastAsia="zh-CN"/>
        </w:rPr>
        <w:t>“两委”共6人，平均年龄44.1岁。</w:t>
      </w:r>
      <w:r>
        <w:rPr>
          <w:rFonts w:hint="eastAsia" w:ascii="仿宋" w:hAnsi="仿宋" w:eastAsia="仿宋" w:cs="仿宋"/>
          <w:color w:val="auto"/>
          <w:sz w:val="32"/>
          <w:szCs w:val="32"/>
          <w:highlight w:val="none"/>
          <w:lang w:val="en-US" w:eastAsia="zh-CN"/>
        </w:rPr>
        <w:t>嘎查集体所有的草场13.5万亩，2024年嘎查集体经济收入达到21万元，2024年度牧业年度牲畜头数4433头只，其中大畜3363头，小畜1070只。</w:t>
      </w:r>
    </w:p>
    <w:p w14:paraId="66BE6C6C">
      <w:pPr>
        <w:keepNext w:val="0"/>
        <w:keepLines w:val="0"/>
        <w:pageBreakBefore w:val="0"/>
        <w:widowControl w:val="0"/>
        <w:kinsoku/>
        <w:wordWrap/>
        <w:overflowPunct/>
        <w:topLinePunct w:val="0"/>
        <w:autoSpaceDE/>
        <w:autoSpaceDN/>
        <w:bidi w:val="0"/>
        <w:adjustRightInd/>
        <w:snapToGrid/>
        <w:spacing w:line="240" w:lineRule="auto"/>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（四）查干淖尔镇乌日根温都日勒嘎查</w:t>
      </w:r>
      <w:r>
        <w:rPr>
          <w:rFonts w:hint="eastAsia" w:ascii="楷体" w:hAnsi="楷体" w:eastAsia="楷体" w:cs="楷体"/>
          <w:b/>
          <w:bCs/>
          <w:color w:val="auto"/>
          <w:sz w:val="32"/>
          <w:szCs w:val="32"/>
          <w:lang w:val="en-US" w:eastAsia="zh-CN"/>
        </w:rPr>
        <w:t>基本概况。</w:t>
      </w:r>
      <w:r>
        <w:rPr>
          <w:rFonts w:hint="eastAsia" w:ascii="仿宋" w:hAnsi="仿宋" w:eastAsia="仿宋" w:cs="仿宋"/>
          <w:sz w:val="32"/>
          <w:szCs w:val="32"/>
          <w:lang w:val="en-US" w:eastAsia="zh-CN"/>
        </w:rPr>
        <w:t>乌日根温都日勒嘎查位于查干淖尔镇东南部，草场总面积为18.4万亩，其中可利用草场面积18.4万亩。现有人口78户 248人，其中：常住人口 45户171 人，脱贫户2 户7人。全嘎查2024年日历年度牲畜头数 2830头只，其中：大畜1779 头，小畜1051只；全嘎查通电牧户45户、嘎查境内通砂石路20公里。嘎查“两委”班子共7人，平均年龄35岁。嘎查集体现有集体草场3000亩，集体牲畜99头牛，嘎查集体棚圈5000平方米，活动室300平方米，嘎查集体主要收入租赁草场和集体牲畜养殖收入，2024年嘎查集体经营性收入9万元。</w:t>
      </w:r>
    </w:p>
    <w:p w14:paraId="4D15AEE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outlineLvl w:val="0"/>
        <w:rPr>
          <w:rFonts w:hint="eastAsia" w:ascii="黑体" w:hAnsi="黑体" w:eastAsia="黑体" w:cs="黑体"/>
          <w:color w:val="auto"/>
          <w:sz w:val="32"/>
          <w:szCs w:val="32"/>
          <w:lang w:val="en-US" w:eastAsia="zh-CN"/>
        </w:rPr>
      </w:pPr>
      <w:bookmarkStart w:id="1" w:name="_Toc413"/>
      <w:r>
        <w:rPr>
          <w:rFonts w:hint="eastAsia" w:ascii="黑体" w:hAnsi="黑体" w:eastAsia="黑体" w:cs="黑体"/>
          <w:color w:val="auto"/>
          <w:sz w:val="32"/>
          <w:szCs w:val="32"/>
          <w:lang w:val="en-US" w:eastAsia="zh-CN"/>
        </w:rPr>
        <w:t>十二、项目实施进度安排</w:t>
      </w:r>
      <w:bookmarkEnd w:id="1"/>
    </w:p>
    <w:p w14:paraId="2CEC6F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（一）</w:t>
      </w:r>
      <w:r>
        <w:rPr>
          <w:rFonts w:hint="eastAsia" w:ascii="仿宋" w:hAnsi="仿宋" w:eastAsia="仿宋" w:cs="仿宋"/>
          <w:sz w:val="32"/>
          <w:szCs w:val="32"/>
          <w:lang w:val="en-US" w:eastAsia="zh-CN"/>
        </w:rPr>
        <w:t>前期</w:t>
      </w:r>
      <w:r>
        <w:rPr>
          <w:rFonts w:hint="default" w:ascii="仿宋" w:hAnsi="仿宋" w:eastAsia="仿宋" w:cs="仿宋"/>
          <w:sz w:val="32"/>
          <w:szCs w:val="32"/>
          <w:lang w:val="en-US" w:eastAsia="zh-CN"/>
        </w:rPr>
        <w:t>准备阶段（202</w:t>
      </w: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年</w:t>
      </w:r>
      <w:r>
        <w:rPr>
          <w:rFonts w:hint="eastAsia" w:ascii="仿宋" w:hAnsi="仿宋" w:eastAsia="仿宋" w:cs="仿宋"/>
          <w:sz w:val="32"/>
          <w:szCs w:val="32"/>
          <w:lang w:val="en-US" w:eastAsia="zh-CN"/>
        </w:rPr>
        <w:t>6</w:t>
      </w:r>
      <w:r>
        <w:rPr>
          <w:rFonts w:hint="default" w:ascii="仿宋" w:hAnsi="仿宋" w:eastAsia="仿宋" w:cs="仿宋"/>
          <w:sz w:val="32"/>
          <w:szCs w:val="32"/>
          <w:lang w:val="en-US" w:eastAsia="zh-CN"/>
        </w:rPr>
        <w:t>月—202</w:t>
      </w: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年</w:t>
      </w:r>
      <w:r>
        <w:rPr>
          <w:rFonts w:hint="eastAsia" w:ascii="仿宋" w:hAnsi="仿宋" w:eastAsia="仿宋" w:cs="仿宋"/>
          <w:sz w:val="32"/>
          <w:szCs w:val="32"/>
          <w:lang w:val="en-US" w:eastAsia="zh-CN"/>
        </w:rPr>
        <w:t>7</w:t>
      </w:r>
      <w:r>
        <w:rPr>
          <w:rFonts w:hint="default" w:ascii="仿宋" w:hAnsi="仿宋" w:eastAsia="仿宋" w:cs="仿宋"/>
          <w:sz w:val="32"/>
          <w:szCs w:val="32"/>
          <w:lang w:val="en-US" w:eastAsia="zh-CN"/>
        </w:rPr>
        <w:t>月）。摸底调查、制定方案，确定资金使用计划。</w:t>
      </w:r>
    </w:p>
    <w:p w14:paraId="4A4285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（二）</w:t>
      </w:r>
      <w:r>
        <w:rPr>
          <w:rFonts w:hint="eastAsia" w:ascii="仿宋" w:hAnsi="仿宋" w:eastAsia="仿宋" w:cs="仿宋"/>
          <w:sz w:val="32"/>
          <w:szCs w:val="32"/>
          <w:lang w:val="en-US" w:eastAsia="zh-CN"/>
        </w:rPr>
        <w:t>项目</w:t>
      </w:r>
      <w:r>
        <w:rPr>
          <w:rFonts w:hint="default" w:ascii="仿宋" w:hAnsi="仿宋" w:eastAsia="仿宋" w:cs="仿宋"/>
          <w:sz w:val="32"/>
          <w:szCs w:val="32"/>
          <w:lang w:val="en-US" w:eastAsia="zh-CN"/>
        </w:rPr>
        <w:t>实施阶段（202</w:t>
      </w: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年</w:t>
      </w:r>
      <w:r>
        <w:rPr>
          <w:rFonts w:hint="eastAsia" w:ascii="仿宋" w:hAnsi="仿宋" w:eastAsia="仿宋" w:cs="仿宋"/>
          <w:sz w:val="32"/>
          <w:szCs w:val="32"/>
          <w:lang w:val="en-US" w:eastAsia="zh-CN"/>
        </w:rPr>
        <w:t>7</w:t>
      </w:r>
      <w:r>
        <w:rPr>
          <w:rFonts w:hint="default" w:ascii="仿宋" w:hAnsi="仿宋" w:eastAsia="仿宋" w:cs="仿宋"/>
          <w:sz w:val="32"/>
          <w:szCs w:val="32"/>
          <w:lang w:val="en-US" w:eastAsia="zh-CN"/>
        </w:rPr>
        <w:t>月—202</w:t>
      </w: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年</w:t>
      </w:r>
      <w:r>
        <w:rPr>
          <w:rFonts w:hint="eastAsia" w:ascii="仿宋" w:hAnsi="仿宋" w:eastAsia="仿宋" w:cs="仿宋"/>
          <w:sz w:val="32"/>
          <w:szCs w:val="32"/>
          <w:lang w:val="en-US" w:eastAsia="zh-CN"/>
        </w:rPr>
        <w:t>10</w:t>
      </w:r>
      <w:r>
        <w:rPr>
          <w:rFonts w:hint="default" w:ascii="仿宋" w:hAnsi="仿宋" w:eastAsia="仿宋" w:cs="仿宋"/>
          <w:sz w:val="32"/>
          <w:szCs w:val="32"/>
          <w:lang w:val="en-US" w:eastAsia="zh-CN"/>
        </w:rPr>
        <w:t>月）。完成项目建设工作。</w:t>
      </w:r>
      <w:r>
        <w:rPr>
          <w:rFonts w:hint="eastAsia" w:ascii="仿宋" w:hAnsi="仿宋" w:eastAsia="仿宋" w:cs="仿宋"/>
          <w:sz w:val="32"/>
          <w:szCs w:val="32"/>
          <w:lang w:val="en-US" w:eastAsia="zh-CN"/>
        </w:rPr>
        <w:t>苏木镇人民政府为项目实施单位，在项目实施过程中，执行好“四议两公开”招投标、财务监督等相关制度。</w:t>
      </w:r>
    </w:p>
    <w:p w14:paraId="60C1DD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（三）组织验收阶段（202</w:t>
      </w: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年</w:t>
      </w:r>
      <w:r>
        <w:rPr>
          <w:rFonts w:hint="eastAsia" w:ascii="仿宋" w:hAnsi="仿宋" w:eastAsia="仿宋" w:cs="仿宋"/>
          <w:sz w:val="32"/>
          <w:szCs w:val="32"/>
          <w:lang w:val="en-US" w:eastAsia="zh-CN"/>
        </w:rPr>
        <w:t>10</w:t>
      </w:r>
      <w:r>
        <w:rPr>
          <w:rFonts w:hint="default" w:ascii="仿宋" w:hAnsi="仿宋" w:eastAsia="仿宋" w:cs="仿宋"/>
          <w:sz w:val="32"/>
          <w:szCs w:val="32"/>
          <w:lang w:val="en-US" w:eastAsia="zh-CN"/>
        </w:rPr>
        <w:t>月－202</w:t>
      </w:r>
      <w:r>
        <w:rPr>
          <w:rFonts w:hint="eastAsia" w:ascii="仿宋" w:hAnsi="仿宋" w:eastAsia="仿宋" w:cs="仿宋"/>
          <w:sz w:val="32"/>
          <w:szCs w:val="32"/>
          <w:lang w:val="en-US" w:eastAsia="zh-CN"/>
        </w:rPr>
        <w:t>5年11</w:t>
      </w:r>
      <w:r>
        <w:rPr>
          <w:rFonts w:hint="default" w:ascii="仿宋" w:hAnsi="仿宋" w:eastAsia="仿宋" w:cs="仿宋"/>
          <w:sz w:val="32"/>
          <w:szCs w:val="32"/>
          <w:lang w:val="en-US" w:eastAsia="zh-CN"/>
        </w:rPr>
        <w:t>月）。实施项目进行验收。</w:t>
      </w:r>
      <w:r>
        <w:rPr>
          <w:rFonts w:hint="eastAsia" w:ascii="仿宋" w:hAnsi="仿宋" w:eastAsia="仿宋" w:cs="仿宋"/>
          <w:sz w:val="32"/>
          <w:szCs w:val="32"/>
          <w:lang w:val="en-US" w:eastAsia="zh-CN"/>
        </w:rPr>
        <w:t>项目建成后，由嘎查、苏木镇进行自评，并向旗农牧和科技局提出验收申请，旗农牧和科技局组织相关部门，抽调专业部门组成项目验收组，通过听取汇报、现场查看、核查账目等方式检查验收，形成验收档案，对验收中发现的问题，责成项目单位认真整改，旗财政部门对已验收项目逐项开展绩效评估，确保达到预期收益。</w:t>
      </w:r>
    </w:p>
    <w:p w14:paraId="08673B3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outlineLvl w:val="0"/>
        <w:rPr>
          <w:rFonts w:hint="default" w:ascii="黑体" w:hAnsi="黑体" w:eastAsia="黑体" w:cs="黑体"/>
          <w:color w:val="auto"/>
          <w:sz w:val="32"/>
          <w:szCs w:val="32"/>
          <w:lang w:val="en-US" w:eastAsia="zh-CN"/>
        </w:rPr>
      </w:pPr>
      <w:r>
        <w:rPr>
          <w:rFonts w:hint="default" w:ascii="黑体" w:hAnsi="黑体" w:eastAsia="黑体" w:cs="黑体"/>
          <w:color w:val="auto"/>
          <w:sz w:val="32"/>
          <w:szCs w:val="32"/>
          <w:lang w:val="en-US" w:eastAsia="zh-CN"/>
        </w:rPr>
        <w:t>十</w:t>
      </w:r>
      <w:r>
        <w:rPr>
          <w:rFonts w:hint="eastAsia" w:ascii="黑体" w:hAnsi="黑体" w:eastAsia="黑体" w:cs="黑体"/>
          <w:color w:val="auto"/>
          <w:sz w:val="32"/>
          <w:szCs w:val="32"/>
          <w:lang w:val="en-US" w:eastAsia="zh-CN"/>
        </w:rPr>
        <w:t>三</w:t>
      </w:r>
      <w:r>
        <w:rPr>
          <w:rFonts w:hint="default" w:ascii="黑体" w:hAnsi="黑体" w:eastAsia="黑体" w:cs="黑体"/>
          <w:color w:val="auto"/>
          <w:sz w:val="32"/>
          <w:szCs w:val="32"/>
          <w:lang w:val="en-US" w:eastAsia="zh-CN"/>
        </w:rPr>
        <w:t>、绩效目标和利益链接</w:t>
      </w:r>
    </w:p>
    <w:p w14:paraId="3990E88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（一）</w:t>
      </w:r>
      <w:r>
        <w:rPr>
          <w:rFonts w:hint="default" w:ascii="仿宋" w:hAnsi="仿宋" w:eastAsia="仿宋" w:cs="仿宋"/>
          <w:b/>
          <w:bCs/>
          <w:sz w:val="32"/>
          <w:szCs w:val="32"/>
          <w:lang w:val="en-US" w:eastAsia="zh-CN"/>
        </w:rPr>
        <w:t>绩效目标</w:t>
      </w:r>
    </w:p>
    <w:p w14:paraId="763241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1、经济效益。通过实施该项目，每年可增加嘎查集体经济收入5万-10万元。</w:t>
      </w:r>
    </w:p>
    <w:p w14:paraId="285DDE5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2、社会效益。项目的实施有利于改善嘎查畜牧产业生产条件和生产结构，有效提高畜牧业综合生产能力，带动嘎查集体经济可持续发展，巩固拓展脱贫攻坚成果。</w:t>
      </w:r>
    </w:p>
    <w:p w14:paraId="09AE6E76">
      <w:pPr>
        <w:pStyle w:val="2"/>
        <w:keepNext w:val="0"/>
        <w:keepLines w:val="0"/>
        <w:widowControl/>
        <w:suppressLineNumbers w:val="0"/>
        <w:shd w:val="clear" w:fill="FFFFFF"/>
        <w:spacing w:line="23" w:lineRule="atLeast"/>
        <w:ind w:left="0" w:firstLine="640" w:firstLineChars="200"/>
        <w:rPr>
          <w:rFonts w:ascii="Segoe UI" w:hAnsi="Segoe UI" w:eastAsia="Segoe UI" w:cs="Segoe UI"/>
          <w:i w:val="0"/>
          <w:iCs w:val="0"/>
          <w:caps w:val="0"/>
          <w:color w:val="404040"/>
          <w:spacing w:val="0"/>
        </w:rPr>
      </w:pPr>
      <w:r>
        <w:rPr>
          <w:rFonts w:hint="eastAsia" w:ascii="仿宋" w:hAnsi="仿宋" w:eastAsia="仿宋" w:cs="仿宋"/>
          <w:b w:val="0"/>
          <w:bCs w:val="0"/>
          <w:sz w:val="32"/>
          <w:szCs w:val="32"/>
          <w:lang w:val="en-US" w:eastAsia="zh-CN"/>
        </w:rPr>
        <w:t>3、生态效益。</w:t>
      </w:r>
      <w:r>
        <w:rPr>
          <w:rFonts w:hint="eastAsia" w:ascii="仿宋" w:hAnsi="仿宋" w:eastAsia="仿宋" w:cs="仿宋"/>
          <w:b w:val="0"/>
          <w:bCs w:val="0"/>
          <w:kern w:val="2"/>
          <w:sz w:val="32"/>
          <w:szCs w:val="32"/>
          <w:lang w:val="en-US" w:eastAsia="zh-CN" w:bidi="ar-SA"/>
        </w:rPr>
        <w:t>通过畜产品销售、畜牧业文旅融合发展、牲畜粪污资源化利用等方式壮大嘎查集体经济，减轻全嘎查草牧场压力，</w:t>
      </w:r>
      <w:r>
        <w:rPr>
          <w:rFonts w:hint="default" w:ascii="仿宋" w:hAnsi="仿宋" w:eastAsia="仿宋" w:cs="仿宋"/>
          <w:b w:val="0"/>
          <w:bCs w:val="0"/>
          <w:kern w:val="2"/>
          <w:sz w:val="32"/>
          <w:szCs w:val="32"/>
          <w:lang w:val="en-US" w:eastAsia="zh-CN" w:bidi="ar-SA"/>
        </w:rPr>
        <w:t>促进资源循环利用，减少污染</w:t>
      </w:r>
      <w:r>
        <w:rPr>
          <w:rFonts w:hint="eastAsia" w:ascii="仿宋" w:hAnsi="仿宋" w:eastAsia="仿宋" w:cs="仿宋"/>
          <w:b w:val="0"/>
          <w:bCs w:val="0"/>
          <w:kern w:val="2"/>
          <w:sz w:val="32"/>
          <w:szCs w:val="32"/>
          <w:lang w:val="en-US" w:eastAsia="zh-CN" w:bidi="ar-SA"/>
        </w:rPr>
        <w:t>，</w:t>
      </w:r>
      <w:r>
        <w:rPr>
          <w:rFonts w:hint="default" w:ascii="仿宋" w:hAnsi="仿宋" w:eastAsia="仿宋" w:cs="仿宋"/>
          <w:b w:val="0"/>
          <w:bCs w:val="0"/>
          <w:kern w:val="2"/>
          <w:sz w:val="32"/>
          <w:szCs w:val="32"/>
          <w:lang w:val="en-US" w:eastAsia="zh-CN" w:bidi="ar-SA"/>
        </w:rPr>
        <w:t>推动</w:t>
      </w:r>
      <w:r>
        <w:rPr>
          <w:rFonts w:hint="eastAsia" w:ascii="仿宋" w:hAnsi="仿宋" w:eastAsia="仿宋" w:cs="仿宋"/>
          <w:b w:val="0"/>
          <w:bCs w:val="0"/>
          <w:kern w:val="2"/>
          <w:sz w:val="32"/>
          <w:szCs w:val="32"/>
          <w:lang w:val="en-US" w:eastAsia="zh-CN" w:bidi="ar-SA"/>
        </w:rPr>
        <w:t>畜牧业</w:t>
      </w:r>
      <w:r>
        <w:rPr>
          <w:rFonts w:hint="default" w:ascii="仿宋" w:hAnsi="仿宋" w:eastAsia="仿宋" w:cs="仿宋"/>
          <w:b w:val="0"/>
          <w:bCs w:val="0"/>
          <w:kern w:val="2"/>
          <w:sz w:val="32"/>
          <w:szCs w:val="32"/>
          <w:lang w:val="en-US" w:eastAsia="zh-CN" w:bidi="ar-SA"/>
        </w:rPr>
        <w:t>可持续发展</w:t>
      </w:r>
      <w:r>
        <w:rPr>
          <w:rFonts w:hint="eastAsia" w:ascii="仿宋" w:hAnsi="仿宋" w:eastAsia="仿宋" w:cs="仿宋"/>
          <w:b w:val="0"/>
          <w:bCs w:val="0"/>
          <w:kern w:val="2"/>
          <w:sz w:val="32"/>
          <w:szCs w:val="32"/>
          <w:lang w:val="en-US" w:eastAsia="zh-CN" w:bidi="ar-SA"/>
        </w:rPr>
        <w:t>，实现经济与生态双赢。</w:t>
      </w:r>
    </w:p>
    <w:p w14:paraId="5CC87374">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（二）</w:t>
      </w:r>
      <w:r>
        <w:rPr>
          <w:rFonts w:hint="default" w:ascii="仿宋" w:hAnsi="仿宋" w:eastAsia="仿宋" w:cs="仿宋"/>
          <w:b/>
          <w:bCs/>
          <w:sz w:val="32"/>
          <w:szCs w:val="32"/>
          <w:lang w:val="en-US" w:eastAsia="zh-CN"/>
        </w:rPr>
        <w:t>利益链接</w:t>
      </w:r>
    </w:p>
    <w:p w14:paraId="19CE8936">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 w:hAnsi="仿宋" w:eastAsia="仿宋" w:cs="仿宋"/>
          <w:sz w:val="32"/>
          <w:szCs w:val="32"/>
          <w:lang w:val="en-US" w:eastAsia="zh-CN"/>
        </w:rPr>
      </w:pPr>
      <w:bookmarkStart w:id="2" w:name="_Toc10782"/>
      <w:r>
        <w:rPr>
          <w:rFonts w:hint="eastAsia" w:ascii="仿宋" w:hAnsi="仿宋" w:eastAsia="仿宋" w:cs="仿宋"/>
          <w:sz w:val="32"/>
          <w:szCs w:val="32"/>
          <w:lang w:val="en-US" w:eastAsia="zh-CN"/>
        </w:rPr>
        <w:t>发展新型农村牧区集体经济项目嘎查每年收益5万-10万元，同时带动每嘎查5-10人富余劳动力务工就业。项目收益资金严格按照“四议两公开”程序进行分配。收益分配30%用于发展嘎查集体经济、30%用于资产后续维护、20%用于嘎查公益事业、20%用于扶持嘎查脱贫户和困难牧户。</w:t>
      </w:r>
    </w:p>
    <w:p w14:paraId="4859B1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outlineLvl w:val="0"/>
        <w:rPr>
          <w:rFonts w:hint="eastAsia" w:ascii="黑体" w:hAnsi="黑体" w:eastAsia="黑体" w:cs="黑体"/>
          <w:color w:val="auto"/>
          <w:sz w:val="32"/>
          <w:szCs w:val="32"/>
          <w:lang w:val="en-US" w:eastAsia="zh-CN"/>
        </w:rPr>
      </w:pPr>
      <w:bookmarkStart w:id="3" w:name="_Toc8193"/>
      <w:r>
        <w:rPr>
          <w:rFonts w:hint="eastAsia" w:ascii="黑体" w:hAnsi="黑体" w:eastAsia="黑体" w:cs="黑体"/>
          <w:color w:val="auto"/>
          <w:sz w:val="32"/>
          <w:szCs w:val="32"/>
          <w:lang w:val="en-US" w:eastAsia="zh-CN"/>
        </w:rPr>
        <w:t>十四、项目后续管理方面</w:t>
      </w:r>
      <w:bookmarkEnd w:id="3"/>
    </w:p>
    <w:p w14:paraId="7B10D4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项目所形成的资产归嘎查集体所有，项目实施完成后项目实施部门将资产移交给嘎查集体，</w:t>
      </w:r>
      <w:r>
        <w:rPr>
          <w:rFonts w:hint="default" w:ascii="仿宋" w:hAnsi="仿宋" w:eastAsia="仿宋" w:cs="仿宋"/>
          <w:sz w:val="32"/>
          <w:szCs w:val="32"/>
          <w:lang w:val="en-US" w:eastAsia="zh-CN"/>
        </w:rPr>
        <w:t>纳入牧区“三资”管理。</w:t>
      </w:r>
      <w:r>
        <w:rPr>
          <w:rFonts w:hint="eastAsia" w:ascii="仿宋" w:hAnsi="仿宋" w:eastAsia="仿宋" w:cs="仿宋"/>
          <w:sz w:val="32"/>
          <w:szCs w:val="32"/>
          <w:lang w:val="en-US" w:eastAsia="zh-CN"/>
        </w:rPr>
        <w:t>项目资产运营、管护、收益分配、资产处置严格按照《内蒙古自治区巩固拓展脱贫攻坚成果同乡村振兴有效衔接帮扶项目资产后续管理办法（试行）》（内乡振发〔2023〕14号）及嘎查集体资产管理相关规定执行。</w:t>
      </w:r>
    </w:p>
    <w:bookmarkEnd w:id="2"/>
    <w:p w14:paraId="1E3596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十五、组织保障</w:t>
      </w:r>
    </w:p>
    <w:p w14:paraId="15B7B89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（一）强化单位责任机制。</w:t>
      </w:r>
      <w:r>
        <w:rPr>
          <w:rFonts w:hint="eastAsia" w:ascii="仿宋" w:hAnsi="仿宋" w:eastAsia="仿宋" w:cs="仿宋"/>
          <w:sz w:val="32"/>
          <w:szCs w:val="32"/>
          <w:lang w:val="en-US" w:eastAsia="zh-CN"/>
        </w:rPr>
        <w:t>各苏木镇要锚定新型农村牧区集体经济发展壮大目标，加强要素集成，强化政策支持，真抓实扶，循序渐进，久久为功，一张蓝图绘到底，确保如期实现扶持目标。苏木镇建立党政“一把手”亲自抓、分管领导直接抓、一级抓一级、层层抓落实的工作推进机制。嘎查党组织要强化组织实施，通过“四议两公开”形式及时向嘎查集体经济组织成员公开项目建设、收益等情况，确保资金取得实效。</w:t>
      </w:r>
    </w:p>
    <w:p w14:paraId="0F706F8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（二）建立联动推进机制。</w:t>
      </w:r>
      <w:r>
        <w:rPr>
          <w:rFonts w:hint="eastAsia" w:ascii="仿宋" w:hAnsi="仿宋" w:eastAsia="仿宋" w:cs="仿宋"/>
          <w:sz w:val="32"/>
          <w:szCs w:val="32"/>
          <w:lang w:val="en-US" w:eastAsia="zh-CN"/>
        </w:rPr>
        <w:t>农牧和科技局、苏木镇积极协调组织、财政、自然资源、环保、林草、水利等部门做好项目前期准备、资金落实、调研督导、政策指导等项目推进工作，共同做好发展新型农村牧区集体经济项目建设工作。</w:t>
      </w:r>
    </w:p>
    <w:p w14:paraId="0D9A2EB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（三）完善管理运行机制。</w:t>
      </w:r>
      <w:r>
        <w:rPr>
          <w:rFonts w:hint="eastAsia" w:ascii="仿宋" w:hAnsi="仿宋" w:eastAsia="仿宋" w:cs="仿宋"/>
          <w:sz w:val="32"/>
          <w:szCs w:val="32"/>
          <w:lang w:val="en-US" w:eastAsia="zh-CN"/>
        </w:rPr>
        <w:t>健全嘎查集体经济组织法人治理机制，完善成员（代表）大会制度，健全理事会、监事会或监督小组等机构。制定规范章程，明确机构职能、成员管理、资产经营和财务管理等事项，建立健全重大事项民主决策机制，确保成员知情权、参与权、表达权、监督权落到实处。</w:t>
      </w:r>
    </w:p>
    <w:p w14:paraId="2105D39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 w:hAnsi="仿宋" w:eastAsia="仿宋" w:cs="仿宋"/>
          <w:color w:val="5B9BD5" w:themeColor="accent1"/>
          <w:sz w:val="32"/>
          <w:szCs w:val="32"/>
          <w:lang w:val="en-US" w:eastAsia="zh-CN"/>
          <w14:textFill>
            <w14:solidFill>
              <w14:schemeClr w14:val="accent1"/>
            </w14:solidFill>
          </w14:textFill>
        </w:rPr>
      </w:pPr>
      <w:r>
        <w:rPr>
          <w:rFonts w:hint="eastAsia" w:ascii="仿宋" w:hAnsi="仿宋" w:eastAsia="仿宋" w:cs="仿宋"/>
          <w:b/>
          <w:bCs/>
          <w:sz w:val="32"/>
          <w:szCs w:val="32"/>
          <w:lang w:val="en-US" w:eastAsia="zh-CN"/>
        </w:rPr>
        <w:t>（四）全面总结工作经验。</w:t>
      </w:r>
      <w:r>
        <w:rPr>
          <w:rFonts w:hint="eastAsia" w:ascii="仿宋" w:hAnsi="仿宋" w:eastAsia="仿宋" w:cs="仿宋"/>
          <w:sz w:val="32"/>
          <w:szCs w:val="32"/>
          <w:lang w:val="en-US" w:eastAsia="zh-CN"/>
        </w:rPr>
        <w:t>项目建成后，苏木镇、嘎查对项目实施工作中的相关问题和好的经验进行共同座谈总结，为下一步项目实施和推进各项工作奠定良好的基础。</w:t>
      </w:r>
    </w:p>
    <w:sectPr>
      <w:footerReference r:id="rId3" w:type="default"/>
      <w:pgSz w:w="11906" w:h="16838"/>
      <w:pgMar w:top="2098" w:right="1474" w:bottom="2041" w:left="158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917BF7-6829-45C0-8DA8-158792DDC97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A9574F94-F4B2-4002-A361-526A6AC1E2E1}"/>
  </w:font>
  <w:font w:name="方正小标宋简体">
    <w:panose1 w:val="02010600010101010101"/>
    <w:charset w:val="86"/>
    <w:family w:val="auto"/>
    <w:pitch w:val="default"/>
    <w:sig w:usb0="00000001" w:usb1="080E0000" w:usb2="00000000" w:usb3="00000000" w:csb0="00040000" w:csb1="00000000"/>
    <w:embedRegular r:id="rId3" w:fontKey="{AADE151C-3B5D-461D-91EC-A04445075C2A}"/>
  </w:font>
  <w:font w:name="仿宋">
    <w:panose1 w:val="02010609060101010101"/>
    <w:charset w:val="86"/>
    <w:family w:val="auto"/>
    <w:pitch w:val="default"/>
    <w:sig w:usb0="800002BF" w:usb1="38CF7CFA" w:usb2="00000016" w:usb3="00000000" w:csb0="00040001" w:csb1="00000000"/>
    <w:embedRegular r:id="rId4" w:fontKey="{ADBF9C05-8D1E-4934-8E45-5067DA7FB2A2}"/>
  </w:font>
  <w:font w:name="楷体_GB2312">
    <w:panose1 w:val="02010609030101010101"/>
    <w:charset w:val="86"/>
    <w:family w:val="auto"/>
    <w:pitch w:val="default"/>
    <w:sig w:usb0="00000001" w:usb1="080E0000" w:usb2="00000000" w:usb3="00000000" w:csb0="00040000" w:csb1="00000000"/>
    <w:embedRegular r:id="rId5" w:fontKey="{1EA231A9-6BC1-486F-9DFD-4F27E51DC289}"/>
  </w:font>
  <w:font w:name="楷体">
    <w:panose1 w:val="02010609060101010101"/>
    <w:charset w:val="86"/>
    <w:family w:val="auto"/>
    <w:pitch w:val="default"/>
    <w:sig w:usb0="800002BF" w:usb1="38CF7CFA" w:usb2="00000016" w:usb3="00000000" w:csb0="00040001" w:csb1="00000000"/>
    <w:embedRegular r:id="rId6" w:fontKey="{76B6A9CD-4974-4D7F-A2AD-894563BF4485}"/>
  </w:font>
  <w:font w:name="方正书宋_GBK">
    <w:panose1 w:val="02000000000000000000"/>
    <w:charset w:val="86"/>
    <w:family w:val="auto"/>
    <w:pitch w:val="default"/>
    <w:sig w:usb0="A00002BF" w:usb1="38CF7CFA" w:usb2="00082016" w:usb3="00000000" w:csb0="00040001" w:csb1="00000000"/>
    <w:embedRegular r:id="rId7" w:fontKey="{767D4E3C-0BD6-4161-B4F6-3450F7ACD982}"/>
  </w:font>
  <w:font w:name="Segoe UI">
    <w:panose1 w:val="020B0502040204020203"/>
    <w:charset w:val="00"/>
    <w:family w:val="auto"/>
    <w:pitch w:val="default"/>
    <w:sig w:usb0="E4002EFF" w:usb1="C000E47F" w:usb2="00000009" w:usb3="00000000" w:csb0="200001FF" w:csb1="00000000"/>
    <w:embedRegular r:id="rId8" w:fontKey="{B05FFEDC-9283-41FD-BA82-DC7299CB6F9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18BC4">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139049">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9139049">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5NWIyNGZhM2MyYmU4ZjU3MmUwNTFlMjE0ZTNhYTEifQ=="/>
  </w:docVars>
  <w:rsids>
    <w:rsidRoot w:val="6A2A3ED2"/>
    <w:rsid w:val="018650DF"/>
    <w:rsid w:val="026F6986"/>
    <w:rsid w:val="027809AF"/>
    <w:rsid w:val="034675D0"/>
    <w:rsid w:val="068F55D5"/>
    <w:rsid w:val="0F850C79"/>
    <w:rsid w:val="0FC70D26"/>
    <w:rsid w:val="0FC825F2"/>
    <w:rsid w:val="12E15476"/>
    <w:rsid w:val="12E43A7C"/>
    <w:rsid w:val="15267261"/>
    <w:rsid w:val="158A3C94"/>
    <w:rsid w:val="15D37364"/>
    <w:rsid w:val="15F5110D"/>
    <w:rsid w:val="16C42AF0"/>
    <w:rsid w:val="180A4C18"/>
    <w:rsid w:val="18A312F5"/>
    <w:rsid w:val="19BC2D3F"/>
    <w:rsid w:val="1BC47D72"/>
    <w:rsid w:val="1D94745E"/>
    <w:rsid w:val="21796AE2"/>
    <w:rsid w:val="221A3EEA"/>
    <w:rsid w:val="25692CA4"/>
    <w:rsid w:val="25987D07"/>
    <w:rsid w:val="268E726E"/>
    <w:rsid w:val="2ACA2FDF"/>
    <w:rsid w:val="2ACB6935"/>
    <w:rsid w:val="2AE65071"/>
    <w:rsid w:val="2B8A55B8"/>
    <w:rsid w:val="316045D6"/>
    <w:rsid w:val="33C51F16"/>
    <w:rsid w:val="379047E2"/>
    <w:rsid w:val="3ABE03EB"/>
    <w:rsid w:val="3B5C412B"/>
    <w:rsid w:val="3BAB20EB"/>
    <w:rsid w:val="3C6F6387"/>
    <w:rsid w:val="3EB50D69"/>
    <w:rsid w:val="4070745F"/>
    <w:rsid w:val="42C615B8"/>
    <w:rsid w:val="436F1030"/>
    <w:rsid w:val="46862299"/>
    <w:rsid w:val="47017063"/>
    <w:rsid w:val="49DC7913"/>
    <w:rsid w:val="4B4E2A92"/>
    <w:rsid w:val="4D6A2269"/>
    <w:rsid w:val="4DFB4D6B"/>
    <w:rsid w:val="4E9D0D2D"/>
    <w:rsid w:val="4F031F95"/>
    <w:rsid w:val="522B58DB"/>
    <w:rsid w:val="527F3531"/>
    <w:rsid w:val="52B27DE9"/>
    <w:rsid w:val="554F368F"/>
    <w:rsid w:val="582B45E8"/>
    <w:rsid w:val="59A2484D"/>
    <w:rsid w:val="5A317807"/>
    <w:rsid w:val="5B523AF2"/>
    <w:rsid w:val="5E934A08"/>
    <w:rsid w:val="5F9165FD"/>
    <w:rsid w:val="60450AA3"/>
    <w:rsid w:val="606E3563"/>
    <w:rsid w:val="607E18D1"/>
    <w:rsid w:val="60840CBF"/>
    <w:rsid w:val="60F546B3"/>
    <w:rsid w:val="60F94631"/>
    <w:rsid w:val="62C05BCC"/>
    <w:rsid w:val="65A55426"/>
    <w:rsid w:val="664C23E4"/>
    <w:rsid w:val="68554591"/>
    <w:rsid w:val="68732032"/>
    <w:rsid w:val="691C78D4"/>
    <w:rsid w:val="69DB39B9"/>
    <w:rsid w:val="6A2A3ED2"/>
    <w:rsid w:val="6C46448B"/>
    <w:rsid w:val="6EB8009F"/>
    <w:rsid w:val="6ED4054A"/>
    <w:rsid w:val="71072F9E"/>
    <w:rsid w:val="7265327C"/>
    <w:rsid w:val="78C25DA2"/>
    <w:rsid w:val="7BE408C2"/>
    <w:rsid w:val="7E1A21DD"/>
    <w:rsid w:val="7E3A46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200" w:firstLineChars="200"/>
    </w:pPr>
  </w:style>
  <w:style w:type="paragraph" w:styleId="4">
    <w:name w:val="Body Text"/>
    <w:basedOn w:val="1"/>
    <w:autoRedefine/>
    <w:qFormat/>
    <w:uiPriority w:val="99"/>
    <w:pPr>
      <w:spacing w:after="120"/>
    </w:pPr>
  </w:style>
  <w:style w:type="paragraph" w:styleId="5">
    <w:name w:val="Body Text Indent"/>
    <w:basedOn w:val="1"/>
    <w:next w:val="1"/>
    <w:qFormat/>
    <w:uiPriority w:val="0"/>
    <w:pPr>
      <w:spacing w:after="120"/>
      <w:ind w:left="420" w:leftChars="200"/>
    </w:pPr>
  </w:style>
  <w:style w:type="paragraph" w:styleId="6">
    <w:name w:val="Plain Text"/>
    <w:basedOn w:val="1"/>
    <w:autoRedefine/>
    <w:qFormat/>
    <w:uiPriority w:val="0"/>
    <w:rPr>
      <w:rFonts w:ascii="宋体" w:hAnsi="Courier New"/>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5"/>
    <w:next w:val="1"/>
    <w:qFormat/>
    <w:uiPriority w:val="0"/>
    <w:pPr>
      <w:ind w:firstLine="420" w:firstLineChars="200"/>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table" w:customStyle="1" w:styleId="1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6154</Words>
  <Characters>6559</Characters>
  <Lines>0</Lines>
  <Paragraphs>0</Paragraphs>
  <TotalTime>23</TotalTime>
  <ScaleCrop>false</ScaleCrop>
  <LinksUpToDate>false</LinksUpToDate>
  <CharactersWithSpaces>6619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2023-09-03T23:23:00Z</dcterms:created>
  <dc:creator>陶格陶</dc:creator>
  <cp:lastModifiedBy>aLtnsbÐᠠᠯᠲᠠᠨᠰᠤᠪᠤᠳ</cp:lastModifiedBy>
  <cp:lastPrinted>2025-06-10T07:19:00Z</cp:lastPrinted>
  <dcterms:modified xsi:type="dcterms:W3CDTF">2025-06-23T02:22:11Z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8E99D9C928534C028E4D974E4A66974C_13</vt:lpwstr>
  </property>
  <property fmtid="{D5CDD505-2E9C-101B-9397-08002B2CF9AE}" pid="4" name="KSOTemplateDocerSaveRecord">
    <vt:lpwstr>eyJoZGlkIjoiYTgwMmQ3YTUxOTBhOTk2YjIzMjQ2NDY3YzYwZDA1ZGEiLCJ1c2VySWQiOiI0ODY0Mzk0NTcifQ==</vt:lpwstr>
  </property>
</Properties>
</file>