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EB8FE3" w14:textId="77777777" w:rsidR="00FB789E" w:rsidRDefault="00FB789E">
      <w:pPr>
        <w:autoSpaceDN w:val="0"/>
        <w:spacing w:before="100" w:after="100" w:line="560" w:lineRule="exact"/>
        <w:jc w:val="center"/>
        <w:rPr>
          <w:rFonts w:ascii="方正楷体_GB2312" w:eastAsia="方正楷体_GB2312" w:hAnsi="方正楷体_GB2312" w:cs="方正楷体_GB2312" w:hint="eastAsia"/>
          <w:color w:val="000000" w:themeColor="text1"/>
          <w:sz w:val="32"/>
        </w:rPr>
      </w:pPr>
    </w:p>
    <w:p w14:paraId="4EFBA924" w14:textId="77777777" w:rsidR="00FB789E" w:rsidRDefault="00000000">
      <w:pPr>
        <w:autoSpaceDN w:val="0"/>
        <w:spacing w:before="100" w:after="100" w:line="560" w:lineRule="exact"/>
        <w:jc w:val="center"/>
        <w:rPr>
          <w:rFonts w:ascii="仿宋_GB2312" w:eastAsia="仿宋_GB2312" w:hAnsi="仿宋_GB2312" w:hint="eastAsia"/>
          <w:color w:val="000000" w:themeColor="text1"/>
          <w:sz w:val="32"/>
        </w:rPr>
      </w:pPr>
      <w:r>
        <w:rPr>
          <w:rFonts w:ascii="仿宋_GB2312" w:eastAsia="仿宋_GB2312" w:hAnsi="仿宋_GB2312" w:hint="eastAsia"/>
          <w:color w:val="000000" w:themeColor="text1"/>
          <w:sz w:val="32"/>
        </w:rPr>
        <w:t xml:space="preserve">                                                                                             </w:t>
      </w:r>
    </w:p>
    <w:p w14:paraId="2794B454" w14:textId="77777777" w:rsidR="00FB789E" w:rsidRDefault="00FB789E">
      <w:pPr>
        <w:autoSpaceDN w:val="0"/>
        <w:spacing w:line="560" w:lineRule="exact"/>
        <w:jc w:val="center"/>
        <w:rPr>
          <w:rFonts w:ascii="仿宋_GB2312" w:eastAsia="仿宋_GB2312" w:hAnsi="仿宋_GB2312" w:hint="eastAsia"/>
          <w:color w:val="000000" w:themeColor="text1"/>
        </w:rPr>
      </w:pPr>
    </w:p>
    <w:p w14:paraId="0ED6C3B9" w14:textId="77777777" w:rsidR="00FB789E" w:rsidRDefault="00FB789E">
      <w:pPr>
        <w:autoSpaceDN w:val="0"/>
        <w:spacing w:line="560" w:lineRule="exact"/>
        <w:jc w:val="center"/>
        <w:rPr>
          <w:rFonts w:ascii="仿宋_GB2312" w:eastAsia="仿宋_GB2312" w:hAnsi="仿宋_GB2312" w:hint="eastAsia"/>
          <w:color w:val="000000" w:themeColor="text1"/>
        </w:rPr>
      </w:pPr>
    </w:p>
    <w:p w14:paraId="601F5570" w14:textId="77777777" w:rsidR="00FB789E" w:rsidRDefault="00FB789E">
      <w:pPr>
        <w:autoSpaceDN w:val="0"/>
        <w:spacing w:line="560" w:lineRule="exact"/>
        <w:jc w:val="center"/>
        <w:rPr>
          <w:rFonts w:ascii="仿宋_GB2312" w:eastAsia="仿宋_GB2312" w:hAnsi="仿宋_GB2312" w:hint="eastAsia"/>
          <w:color w:val="000000" w:themeColor="text1"/>
          <w:sz w:val="32"/>
        </w:rPr>
      </w:pPr>
    </w:p>
    <w:p w14:paraId="2D1DA399" w14:textId="77777777" w:rsidR="00FB789E" w:rsidRDefault="00FB789E">
      <w:pPr>
        <w:tabs>
          <w:tab w:val="left" w:pos="2818"/>
        </w:tabs>
        <w:autoSpaceDN w:val="0"/>
        <w:spacing w:line="560" w:lineRule="exact"/>
        <w:jc w:val="left"/>
        <w:rPr>
          <w:rFonts w:ascii="仿宋_GB2312" w:eastAsia="仿宋_GB2312" w:hAnsi="仿宋_GB2312" w:hint="eastAsia"/>
          <w:color w:val="000000" w:themeColor="text1"/>
          <w:sz w:val="24"/>
        </w:rPr>
      </w:pPr>
    </w:p>
    <w:p w14:paraId="6519EC5D" w14:textId="77777777" w:rsidR="00FB789E" w:rsidRDefault="00FB789E">
      <w:pPr>
        <w:autoSpaceDN w:val="0"/>
        <w:spacing w:line="560" w:lineRule="exact"/>
        <w:jc w:val="center"/>
        <w:rPr>
          <w:rFonts w:ascii="仿宋_GB2312" w:eastAsia="仿宋_GB2312" w:hAnsi="仿宋_GB2312" w:hint="eastAsia"/>
          <w:color w:val="000000" w:themeColor="text1"/>
          <w:sz w:val="32"/>
        </w:rPr>
      </w:pPr>
    </w:p>
    <w:p w14:paraId="2E8D8613" w14:textId="77777777" w:rsidR="00FB789E" w:rsidRDefault="00FB789E">
      <w:pPr>
        <w:autoSpaceDN w:val="0"/>
        <w:spacing w:line="560" w:lineRule="exact"/>
        <w:jc w:val="center"/>
        <w:rPr>
          <w:rFonts w:ascii="仿宋_GB2312" w:eastAsia="仿宋_GB2312" w:hAnsi="仿宋_GB2312" w:hint="eastAsia"/>
          <w:color w:val="000000" w:themeColor="text1"/>
          <w:sz w:val="32"/>
        </w:rPr>
      </w:pPr>
    </w:p>
    <w:p w14:paraId="065D5C06" w14:textId="77777777" w:rsidR="00FB789E" w:rsidRDefault="00FB789E">
      <w:pPr>
        <w:autoSpaceDN w:val="0"/>
        <w:spacing w:line="560" w:lineRule="exact"/>
        <w:jc w:val="center"/>
        <w:rPr>
          <w:rFonts w:ascii="仿宋_GB2312" w:eastAsia="仿宋_GB2312" w:hAnsi="仿宋_GB2312" w:hint="eastAsia"/>
          <w:color w:val="000000" w:themeColor="text1"/>
          <w:sz w:val="32"/>
        </w:rPr>
      </w:pPr>
    </w:p>
    <w:p w14:paraId="46A012D8" w14:textId="31D9BD2D" w:rsidR="00FB789E" w:rsidRDefault="00000000">
      <w:pPr>
        <w:spacing w:line="360" w:lineRule="auto"/>
        <w:jc w:val="center"/>
        <w:rPr>
          <w:rFonts w:ascii="仿宋_GB2312" w:eastAsia="仿宋_GB2312" w:hAnsi="宋体" w:hint="eastAsia"/>
          <w:color w:val="000000" w:themeColor="text1"/>
          <w:sz w:val="32"/>
          <w:szCs w:val="32"/>
        </w:rPr>
      </w:pPr>
      <w:r>
        <w:rPr>
          <w:rFonts w:ascii="仿宋_GB2312" w:eastAsia="仿宋_GB2312" w:hAnsi="宋体" w:hint="eastAsia"/>
          <w:color w:val="000000" w:themeColor="text1"/>
          <w:sz w:val="32"/>
          <w:szCs w:val="32"/>
        </w:rPr>
        <w:t>阿环审表〔2025〕1</w:t>
      </w:r>
      <w:r w:rsidR="00F31FDF">
        <w:rPr>
          <w:rFonts w:ascii="仿宋_GB2312" w:eastAsia="仿宋_GB2312" w:hAnsi="宋体" w:hint="eastAsia"/>
          <w:color w:val="000000" w:themeColor="text1"/>
          <w:sz w:val="32"/>
          <w:szCs w:val="32"/>
        </w:rPr>
        <w:t>1</w:t>
      </w:r>
      <w:r>
        <w:rPr>
          <w:rFonts w:ascii="仿宋_GB2312" w:eastAsia="仿宋_GB2312" w:hAnsi="宋体" w:hint="eastAsia"/>
          <w:color w:val="000000" w:themeColor="text1"/>
          <w:sz w:val="32"/>
          <w:szCs w:val="32"/>
        </w:rPr>
        <w:t>号</w:t>
      </w:r>
    </w:p>
    <w:p w14:paraId="05FFB8F2" w14:textId="77777777" w:rsidR="00FB789E" w:rsidRDefault="00FB789E">
      <w:pPr>
        <w:rPr>
          <w:rFonts w:ascii="仿宋_GB2312" w:eastAsia="仿宋_GB2312" w:hAnsi="宋体" w:hint="eastAsia"/>
          <w:b/>
          <w:color w:val="000000" w:themeColor="text1"/>
          <w:sz w:val="28"/>
          <w:szCs w:val="28"/>
        </w:rPr>
      </w:pPr>
    </w:p>
    <w:p w14:paraId="3E66D28A" w14:textId="77777777" w:rsidR="00FB789E" w:rsidRDefault="00000000">
      <w:pPr>
        <w:spacing w:line="600" w:lineRule="exact"/>
        <w:jc w:val="center"/>
        <w:rPr>
          <w:rFonts w:ascii="方正小标宋简体" w:eastAsia="方正小标宋简体" w:hAnsiTheme="majorEastAsia" w:cstheme="majorEastAsia" w:hint="eastAsia"/>
          <w:bCs/>
          <w:color w:val="000000" w:themeColor="text1"/>
          <w:sz w:val="44"/>
          <w:szCs w:val="44"/>
        </w:rPr>
      </w:pPr>
      <w:r>
        <w:rPr>
          <w:rFonts w:ascii="方正小标宋简体" w:eastAsia="方正小标宋简体" w:hAnsiTheme="majorEastAsia" w:cstheme="majorEastAsia" w:hint="eastAsia"/>
          <w:bCs/>
          <w:color w:val="000000" w:themeColor="text1"/>
          <w:sz w:val="44"/>
          <w:szCs w:val="44"/>
        </w:rPr>
        <w:t>锡林郭勒盟生态环境局</w:t>
      </w:r>
    </w:p>
    <w:p w14:paraId="09A7BB92" w14:textId="77777777" w:rsidR="00FB789E" w:rsidRDefault="00000000">
      <w:pPr>
        <w:spacing w:line="600" w:lineRule="exact"/>
        <w:jc w:val="center"/>
        <w:rPr>
          <w:rFonts w:asciiTheme="majorEastAsia" w:eastAsiaTheme="majorEastAsia" w:hAnsiTheme="majorEastAsia" w:cstheme="majorEastAsia" w:hint="eastAsia"/>
          <w:b/>
          <w:color w:val="000000" w:themeColor="text1"/>
          <w:sz w:val="44"/>
          <w:szCs w:val="44"/>
        </w:rPr>
      </w:pPr>
      <w:bookmarkStart w:id="0" w:name="OLE_LINK1"/>
      <w:r>
        <w:rPr>
          <w:rFonts w:ascii="方正小标宋简体" w:eastAsia="方正小标宋简体" w:hAnsiTheme="majorEastAsia" w:cstheme="majorEastAsia" w:hint="eastAsia"/>
          <w:bCs/>
          <w:color w:val="000000" w:themeColor="text1"/>
          <w:sz w:val="44"/>
          <w:szCs w:val="44"/>
        </w:rPr>
        <w:t>关于内蒙古玛尼图矿区达安煤矿项目配套选煤厂干选系统建设项目环境影响报告表的批复</w:t>
      </w:r>
      <w:bookmarkEnd w:id="0"/>
    </w:p>
    <w:p w14:paraId="02D395CD" w14:textId="77777777" w:rsidR="00FB789E" w:rsidRDefault="00FB789E">
      <w:pPr>
        <w:jc w:val="center"/>
        <w:rPr>
          <w:rFonts w:ascii="仿宋_GB2312" w:eastAsia="仿宋_GB2312" w:hAnsi="宋体" w:hint="eastAsia"/>
          <w:b/>
          <w:color w:val="000000" w:themeColor="text1"/>
          <w:sz w:val="28"/>
          <w:szCs w:val="28"/>
        </w:rPr>
      </w:pPr>
    </w:p>
    <w:p w14:paraId="0A269113" w14:textId="77777777" w:rsidR="00FB789E" w:rsidRDefault="00000000">
      <w:pPr>
        <w:spacing w:line="560" w:lineRule="exact"/>
        <w:rPr>
          <w:rFonts w:ascii="仿宋_GB2312" w:eastAsia="仿宋_GB2312" w:hAnsi="宋体" w:hint="eastAsia"/>
          <w:color w:val="000000" w:themeColor="text1"/>
          <w:sz w:val="32"/>
          <w:szCs w:val="32"/>
        </w:rPr>
      </w:pPr>
      <w:r>
        <w:rPr>
          <w:rFonts w:ascii="仿宋_GB2312" w:eastAsia="仿宋_GB2312" w:hAnsi="宋体" w:hint="eastAsia"/>
          <w:color w:val="000000" w:themeColor="text1"/>
          <w:sz w:val="32"/>
          <w:szCs w:val="32"/>
        </w:rPr>
        <w:t>阿巴嘎旗达安矿业有限责任公司：</w:t>
      </w:r>
    </w:p>
    <w:p w14:paraId="049830D8" w14:textId="77777777" w:rsidR="00FB789E" w:rsidRDefault="00000000">
      <w:pPr>
        <w:spacing w:line="560" w:lineRule="exact"/>
        <w:ind w:firstLineChars="200" w:firstLine="640"/>
        <w:rPr>
          <w:rFonts w:ascii="仿宋_GB2312" w:eastAsia="仿宋_GB2312" w:hAnsi="宋体" w:hint="eastAsia"/>
          <w:color w:val="000000" w:themeColor="text1"/>
          <w:sz w:val="32"/>
          <w:szCs w:val="32"/>
        </w:rPr>
      </w:pPr>
      <w:r>
        <w:rPr>
          <w:rFonts w:ascii="仿宋_GB2312" w:eastAsia="仿宋_GB2312" w:hAnsi="宋体" w:hint="eastAsia"/>
          <w:color w:val="000000" w:themeColor="text1"/>
          <w:sz w:val="32"/>
          <w:szCs w:val="32"/>
        </w:rPr>
        <w:t>你单位报送的由内蒙古盛立环保工程有限公司，刘君主持编制的《内蒙古玛尼图矿区达安煤矿项目配套选煤厂干选系统环境影响报告表》（以下简称《报告表》）收悉，现批复如下：</w:t>
      </w:r>
    </w:p>
    <w:p w14:paraId="5D9675A5" w14:textId="77777777" w:rsidR="00FB789E" w:rsidRDefault="00000000">
      <w:pPr>
        <w:numPr>
          <w:ilvl w:val="0"/>
          <w:numId w:val="1"/>
        </w:numPr>
        <w:spacing w:line="560" w:lineRule="exact"/>
        <w:ind w:firstLineChars="200" w:firstLine="640"/>
        <w:rPr>
          <w:rFonts w:ascii="黑体" w:eastAsia="黑体" w:hAnsi="黑体" w:cs="黑体" w:hint="eastAsia"/>
          <w:color w:val="000000" w:themeColor="text1"/>
          <w:sz w:val="32"/>
          <w:szCs w:val="32"/>
        </w:rPr>
      </w:pPr>
      <w:r>
        <w:rPr>
          <w:rFonts w:ascii="黑体" w:eastAsia="黑体" w:hAnsi="黑体" w:cs="黑体" w:hint="eastAsia"/>
          <w:color w:val="000000" w:themeColor="text1"/>
          <w:sz w:val="32"/>
          <w:szCs w:val="32"/>
        </w:rPr>
        <w:t>建设项目基本情况</w:t>
      </w:r>
    </w:p>
    <w:p w14:paraId="702C2BCF" w14:textId="77777777" w:rsidR="00FB789E" w:rsidRDefault="00000000">
      <w:pPr>
        <w:overflowPunct w:val="0"/>
        <w:autoSpaceDE w:val="0"/>
        <w:autoSpaceDN w:val="0"/>
        <w:adjustRightInd w:val="0"/>
        <w:snapToGrid w:val="0"/>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阿巴嘎旗达安矿业有限责任公司拟投资225.9143万元，在阿巴嘎旗吉尔嘎郎图苏木达安煤矿工业场地内建设内蒙古玛尼图矿区达安煤矿项目配套选煤厂干选系统，厂址中心坐标：E115°</w:t>
      </w:r>
      <w:r>
        <w:rPr>
          <w:rFonts w:ascii="仿宋_GB2312" w:eastAsia="仿宋_GB2312" w:hint="eastAsia"/>
          <w:color w:val="000000" w:themeColor="text1"/>
          <w:sz w:val="32"/>
          <w:szCs w:val="32"/>
        </w:rPr>
        <w:lastRenderedPageBreak/>
        <w:t>20′23.975″，N44°59′9.487″。主要建设内容为：TGS干选车间、原煤棚至干选车间的末混煤入料皮带栈桥、干选车间至预留矸石充填站的排矸皮带栈桥、干选车间至精煤棚的末精煤皮带栈桥。用地面积为990m</w:t>
      </w:r>
      <w:r>
        <w:rPr>
          <w:rFonts w:ascii="仿宋_GB2312" w:eastAsia="仿宋_GB2312" w:hint="eastAsia"/>
          <w:color w:val="000000" w:themeColor="text1"/>
          <w:sz w:val="32"/>
          <w:szCs w:val="32"/>
          <w:vertAlign w:val="superscript"/>
        </w:rPr>
        <w:t>2</w:t>
      </w:r>
      <w:r>
        <w:rPr>
          <w:rFonts w:ascii="仿宋_GB2312" w:eastAsia="仿宋_GB2312" w:hint="eastAsia"/>
          <w:color w:val="000000" w:themeColor="text1"/>
          <w:sz w:val="32"/>
          <w:szCs w:val="32"/>
        </w:rPr>
        <w:t>。项目总投资225.9143万元，其中环保投资37万元，环保投资占总投资的16.38%。</w:t>
      </w:r>
    </w:p>
    <w:p w14:paraId="69999A95" w14:textId="77777777" w:rsidR="00FB789E" w:rsidRDefault="00000000">
      <w:pPr>
        <w:overflowPunct w:val="0"/>
        <w:autoSpaceDE w:val="0"/>
        <w:autoSpaceDN w:val="0"/>
        <w:adjustRightInd w:val="0"/>
        <w:snapToGrid w:val="0"/>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根据《产业结构调整指导目录（2024年本）》，该项目属于鼓励类中的“三、煤炭、4．煤炭清洁高效开发利用技术：煤炭清洁高效洗选和洁净型煤技术开发与应用”项目；项目为原煤净化加工建设项目，经选煤加工后的煤炭，灰分和含硫量降低，热值提高，符合国家的能源政策。2019年3月，国家能源局以国能发煤炭〔2019〕27号下发了《国家能源局关于内蒙古玛尼图矿区达安煤矿项目核准的批复》，对达安煤矿建设项目进行了核准，配套矿井及选煤系统。项目属于达安煤矿项目配套选煤厂干选系统。项目符合国家产业政策的要求，符合地方产业政策，且符合我盟“三线一单”管控要求及国家相关法律法规政策。</w:t>
      </w:r>
    </w:p>
    <w:p w14:paraId="44CC4608" w14:textId="77777777" w:rsidR="00FB789E" w:rsidRDefault="00000000">
      <w:pPr>
        <w:overflowPunct w:val="0"/>
        <w:autoSpaceDE w:val="0"/>
        <w:autoSpaceDN w:val="0"/>
        <w:adjustRightInd w:val="0"/>
        <w:snapToGrid w:val="0"/>
        <w:spacing w:line="560" w:lineRule="exact"/>
        <w:ind w:firstLineChars="200" w:firstLine="640"/>
        <w:rPr>
          <w:rFonts w:ascii="仿宋_GB2312" w:eastAsia="仿宋_GB2312" w:hAnsi="宋体" w:hint="eastAsia"/>
          <w:color w:val="000000" w:themeColor="text1"/>
          <w:sz w:val="32"/>
          <w:szCs w:val="32"/>
        </w:rPr>
      </w:pPr>
      <w:r>
        <w:rPr>
          <w:rFonts w:ascii="仿宋_GB2312" w:eastAsia="仿宋_GB2312" w:hint="eastAsia"/>
          <w:color w:val="000000" w:themeColor="text1"/>
          <w:sz w:val="32"/>
          <w:szCs w:val="32"/>
        </w:rPr>
        <w:t>在全面落实《报告表》提出的各项污染防治措施后，可使环境污染和生态破坏控制在允许范围内，从生态环境保护角度分析，该项目建设可行。</w:t>
      </w:r>
    </w:p>
    <w:p w14:paraId="6BA77D11" w14:textId="77777777" w:rsidR="00FB789E" w:rsidRDefault="00000000">
      <w:pPr>
        <w:overflowPunct w:val="0"/>
        <w:autoSpaceDE w:val="0"/>
        <w:autoSpaceDN w:val="0"/>
        <w:adjustRightInd w:val="0"/>
        <w:snapToGrid w:val="0"/>
        <w:spacing w:line="560" w:lineRule="exact"/>
        <w:ind w:firstLineChars="200" w:firstLine="640"/>
        <w:rPr>
          <w:rFonts w:ascii="黑体" w:eastAsia="黑体" w:hAnsi="黑体" w:cs="黑体" w:hint="eastAsia"/>
          <w:color w:val="000000" w:themeColor="text1"/>
          <w:sz w:val="32"/>
          <w:szCs w:val="32"/>
        </w:rPr>
      </w:pPr>
      <w:r>
        <w:rPr>
          <w:rFonts w:ascii="黑体" w:eastAsia="黑体" w:hAnsi="黑体" w:cs="黑体" w:hint="eastAsia"/>
          <w:color w:val="000000" w:themeColor="text1"/>
          <w:sz w:val="32"/>
          <w:szCs w:val="32"/>
        </w:rPr>
        <w:t>二、项目在设计、建设和运营过程中应做好以下工作：</w:t>
      </w:r>
    </w:p>
    <w:p w14:paraId="1375DF0D" w14:textId="77777777" w:rsidR="00FB789E" w:rsidRDefault="00000000">
      <w:pPr>
        <w:overflowPunct w:val="0"/>
        <w:autoSpaceDE w:val="0"/>
        <w:autoSpaceDN w:val="0"/>
        <w:adjustRightInd w:val="0"/>
        <w:snapToGrid w:val="0"/>
        <w:spacing w:line="560" w:lineRule="exact"/>
        <w:ind w:firstLineChars="200" w:firstLine="640"/>
        <w:rPr>
          <w:rFonts w:ascii="方正楷体_GB2312" w:eastAsia="方正楷体_GB2312" w:hAnsi="楷体" w:cs="楷体" w:hint="eastAsia"/>
          <w:color w:val="000000" w:themeColor="text1"/>
          <w:sz w:val="32"/>
          <w:szCs w:val="32"/>
        </w:rPr>
      </w:pPr>
      <w:r>
        <w:rPr>
          <w:rFonts w:ascii="方正楷体_GB2312" w:eastAsia="方正楷体_GB2312" w:hAnsi="楷体" w:cs="楷体" w:hint="eastAsia"/>
          <w:color w:val="000000" w:themeColor="text1"/>
          <w:sz w:val="32"/>
          <w:szCs w:val="32"/>
        </w:rPr>
        <w:t>（一）大气污染防治</w:t>
      </w:r>
    </w:p>
    <w:p w14:paraId="2BFAC287" w14:textId="77777777" w:rsidR="00FB789E" w:rsidRDefault="00000000">
      <w:pPr>
        <w:pStyle w:val="2"/>
        <w:rPr>
          <w:rFonts w:ascii="Times New Roman" w:eastAsia="仿宋_GB2312" w:hAnsi="Times New Roman"/>
          <w:sz w:val="32"/>
          <w:szCs w:val="32"/>
          <w:lang w:eastAsia="zh-CN"/>
        </w:rPr>
      </w:pPr>
      <w:r>
        <w:rPr>
          <w:rFonts w:ascii="仿宋_GB2312" w:eastAsia="仿宋_GB2312" w:hAnsi="宋体" w:hint="eastAsia"/>
          <w:b/>
          <w:bCs/>
          <w:color w:val="000000" w:themeColor="text1"/>
          <w:sz w:val="32"/>
          <w:szCs w:val="32"/>
        </w:rPr>
        <w:t>1.</w:t>
      </w:r>
      <w:proofErr w:type="spellStart"/>
      <w:r>
        <w:rPr>
          <w:rFonts w:ascii="仿宋_GB2312" w:eastAsia="仿宋_GB2312" w:hAnsi="宋体" w:hint="eastAsia"/>
          <w:b/>
          <w:bCs/>
          <w:color w:val="000000" w:themeColor="text1"/>
          <w:sz w:val="32"/>
          <w:szCs w:val="32"/>
        </w:rPr>
        <w:t>施工期大气污染防治措施</w:t>
      </w:r>
      <w:proofErr w:type="spellEnd"/>
      <w:r>
        <w:rPr>
          <w:rFonts w:ascii="仿宋_GB2312" w:eastAsia="仿宋_GB2312" w:hAnsi="宋体" w:hint="eastAsia"/>
          <w:b/>
          <w:bCs/>
          <w:color w:val="000000" w:themeColor="text1"/>
          <w:sz w:val="32"/>
          <w:szCs w:val="32"/>
        </w:rPr>
        <w:t>。</w:t>
      </w:r>
      <w:r>
        <w:rPr>
          <w:rFonts w:ascii="Times New Roman" w:eastAsia="仿宋_GB2312" w:hAnsi="Times New Roman" w:hint="eastAsia"/>
          <w:sz w:val="32"/>
          <w:szCs w:val="32"/>
          <w:lang w:eastAsia="zh-CN"/>
        </w:rPr>
        <w:t>制定合理的施工计划，严格划定作业区域，干燥季节应及时对现场存放的土方洒水，采用密封车辆、加盖篷布防止泥土洒落地面和采取车辆冲洗及地面洒水等防范措施，以减少道路扬尘对环境的污染影响；加强车辆的日常</w:t>
      </w:r>
      <w:r>
        <w:rPr>
          <w:rFonts w:ascii="Times New Roman" w:eastAsia="仿宋_GB2312" w:hAnsi="Times New Roman" w:hint="eastAsia"/>
          <w:sz w:val="32"/>
          <w:szCs w:val="32"/>
          <w:lang w:eastAsia="zh-CN"/>
        </w:rPr>
        <w:lastRenderedPageBreak/>
        <w:t>保养维护，使车辆工作在正常状况下，合理安排行车路线，减少道路制约和交通不畅造成的高排放，使用含铅低的燃油，提高使用燃油的质量。</w:t>
      </w:r>
    </w:p>
    <w:p w14:paraId="4E056F7D" w14:textId="77777777" w:rsidR="00FB789E" w:rsidRDefault="00000000">
      <w:pPr>
        <w:pStyle w:val="20"/>
        <w:spacing w:line="560" w:lineRule="exact"/>
        <w:ind w:firstLine="643"/>
        <w:rPr>
          <w:rFonts w:ascii="仿宋_GB2312" w:eastAsia="仿宋_GB2312" w:hint="default"/>
          <w:color w:val="000000" w:themeColor="text1"/>
          <w:sz w:val="32"/>
          <w:szCs w:val="32"/>
        </w:rPr>
      </w:pPr>
      <w:r>
        <w:rPr>
          <w:rFonts w:ascii="仿宋_GB2312" w:eastAsia="仿宋_GB2312" w:hAnsi="宋体"/>
          <w:b/>
          <w:bCs/>
          <w:color w:val="000000" w:themeColor="text1"/>
          <w:sz w:val="32"/>
          <w:szCs w:val="32"/>
        </w:rPr>
        <w:t>2.项目运营期大气污染防治措施。</w:t>
      </w:r>
      <w:r>
        <w:rPr>
          <w:rFonts w:ascii="仿宋_GB2312" w:eastAsia="仿宋_GB2312"/>
          <w:color w:val="000000" w:themeColor="text1"/>
          <w:sz w:val="32"/>
          <w:szCs w:val="32"/>
        </w:rPr>
        <w:t>末原煤棚装卸堆存产生的扬尘：末原煤棚采用全封闭结构，棚内设置1套雾炮洒水降尘装置；干选车间产生的颗粒物：经集气罩收集通过布袋除尘器处理后经高15m、直径1.25m的排气筒排放，剩余未被收集的粉尘经全封闭车间沉降后无组织排放；末煤煤炭输送及转载点扬尘：各输送皮带机均采取封闭式结构，输送机栈桥转载点均设置喷雾抑尘装置进行喷雾抑尘；产品末精煤在精煤棚装卸堆存时产生的扬尘：精煤棚采用全封闭结构，棚内设置2套雾炮洒水降尘装置。</w:t>
      </w:r>
    </w:p>
    <w:p w14:paraId="4192DBF6" w14:textId="77777777" w:rsidR="00FB789E" w:rsidRDefault="00000000">
      <w:pPr>
        <w:overflowPunct w:val="0"/>
        <w:autoSpaceDE w:val="0"/>
        <w:autoSpaceDN w:val="0"/>
        <w:adjustRightInd w:val="0"/>
        <w:snapToGrid w:val="0"/>
        <w:spacing w:line="560" w:lineRule="exact"/>
        <w:ind w:firstLineChars="200" w:firstLine="640"/>
        <w:rPr>
          <w:rFonts w:ascii="方正楷体_GB2312" w:eastAsia="方正楷体_GB2312" w:hAnsi="楷体" w:cs="楷体" w:hint="eastAsia"/>
          <w:color w:val="000000" w:themeColor="text1"/>
          <w:sz w:val="32"/>
          <w:szCs w:val="32"/>
        </w:rPr>
      </w:pPr>
      <w:r>
        <w:rPr>
          <w:rFonts w:ascii="方正楷体_GB2312" w:eastAsia="方正楷体_GB2312" w:hAnsi="楷体" w:cs="楷体" w:hint="eastAsia"/>
          <w:color w:val="000000" w:themeColor="text1"/>
          <w:sz w:val="32"/>
          <w:szCs w:val="32"/>
        </w:rPr>
        <w:t>（二）水污染防治</w:t>
      </w:r>
    </w:p>
    <w:p w14:paraId="3A0D4622" w14:textId="77777777" w:rsidR="00FB789E" w:rsidRDefault="00000000">
      <w:pPr>
        <w:overflowPunct w:val="0"/>
        <w:autoSpaceDE w:val="0"/>
        <w:autoSpaceDN w:val="0"/>
        <w:adjustRightInd w:val="0"/>
        <w:snapToGrid w:val="0"/>
        <w:spacing w:line="560" w:lineRule="exact"/>
        <w:ind w:firstLineChars="200" w:firstLine="643"/>
        <w:rPr>
          <w:rFonts w:ascii="仿宋_GB2312" w:eastAsia="仿宋_GB2312" w:hAnsi="Times New Roman"/>
          <w:color w:val="000000" w:themeColor="text1"/>
          <w:sz w:val="32"/>
          <w:szCs w:val="32"/>
          <w:lang w:bidi="ar"/>
        </w:rPr>
      </w:pPr>
      <w:r>
        <w:rPr>
          <w:rFonts w:ascii="仿宋_GB2312" w:eastAsia="仿宋_GB2312" w:hAnsi="宋体" w:hint="eastAsia"/>
          <w:b/>
          <w:bCs/>
          <w:color w:val="000000" w:themeColor="text1"/>
          <w:sz w:val="32"/>
          <w:szCs w:val="32"/>
        </w:rPr>
        <w:t>1.施工期废水污染防治措施。</w:t>
      </w:r>
      <w:r>
        <w:rPr>
          <w:rFonts w:ascii="仿宋_GB2312" w:eastAsia="仿宋_GB2312" w:hAnsi="Times New Roman" w:hint="eastAsia"/>
          <w:color w:val="000000" w:themeColor="text1"/>
          <w:sz w:val="32"/>
          <w:szCs w:val="32"/>
          <w:lang w:bidi="ar"/>
        </w:rPr>
        <w:t>生活污水经煤矿生活污水处理站处理达标后回用于煤矿洒水降尘和绿化，施工废水经沉沙池沉淀处理后回收利用，不外排。</w:t>
      </w:r>
    </w:p>
    <w:p w14:paraId="2A48510F" w14:textId="77777777" w:rsidR="00FB789E" w:rsidRDefault="00000000">
      <w:pPr>
        <w:overflowPunct w:val="0"/>
        <w:autoSpaceDE w:val="0"/>
        <w:autoSpaceDN w:val="0"/>
        <w:adjustRightInd w:val="0"/>
        <w:snapToGrid w:val="0"/>
        <w:spacing w:line="560" w:lineRule="exact"/>
        <w:ind w:firstLineChars="200" w:firstLine="643"/>
        <w:rPr>
          <w:rFonts w:ascii="仿宋_GB2312" w:eastAsia="仿宋_GB2312" w:hAnsi="宋体" w:hint="eastAsia"/>
          <w:color w:val="000000" w:themeColor="text1"/>
          <w:sz w:val="32"/>
          <w:szCs w:val="32"/>
        </w:rPr>
      </w:pPr>
      <w:r>
        <w:rPr>
          <w:rFonts w:ascii="仿宋_GB2312" w:eastAsia="仿宋_GB2312" w:hAnsi="宋体" w:hint="eastAsia"/>
          <w:b/>
          <w:bCs/>
          <w:color w:val="000000" w:themeColor="text1"/>
          <w:sz w:val="32"/>
          <w:szCs w:val="32"/>
        </w:rPr>
        <w:t>2.运营期废水污染防治措施。</w:t>
      </w:r>
      <w:r>
        <w:rPr>
          <w:rFonts w:ascii="仿宋_GB2312" w:eastAsia="仿宋_GB2312" w:hAnsi="宋体" w:hint="eastAsia"/>
          <w:color w:val="000000" w:themeColor="text1"/>
          <w:sz w:val="32"/>
          <w:szCs w:val="32"/>
        </w:rPr>
        <w:t>项目不新增劳动定员，不新增生活污水；项目的抑尘用水全部蒸发损耗；除尘灰润湿用水进入除尘灰中，全部消耗；干选车间地面冲洗废水引至干选车间内沉淀池处理后回用，不外排。</w:t>
      </w:r>
    </w:p>
    <w:p w14:paraId="335A6399" w14:textId="77777777" w:rsidR="00FB789E" w:rsidRDefault="00000000">
      <w:pPr>
        <w:overflowPunct w:val="0"/>
        <w:autoSpaceDE w:val="0"/>
        <w:autoSpaceDN w:val="0"/>
        <w:adjustRightInd w:val="0"/>
        <w:snapToGrid w:val="0"/>
        <w:spacing w:line="560" w:lineRule="exact"/>
        <w:ind w:firstLineChars="200" w:firstLine="640"/>
        <w:rPr>
          <w:rFonts w:ascii="方正楷体_GB2312" w:eastAsia="方正楷体_GB2312" w:hAnsi="楷体" w:cs="楷体" w:hint="eastAsia"/>
          <w:color w:val="000000" w:themeColor="text1"/>
          <w:sz w:val="32"/>
          <w:szCs w:val="32"/>
        </w:rPr>
      </w:pPr>
      <w:r>
        <w:rPr>
          <w:rFonts w:ascii="方正楷体_GB2312" w:eastAsia="方正楷体_GB2312" w:hAnsi="楷体" w:cs="楷体" w:hint="eastAsia"/>
          <w:color w:val="000000" w:themeColor="text1"/>
          <w:sz w:val="32"/>
          <w:szCs w:val="32"/>
        </w:rPr>
        <w:t>（三）噪声污染防治</w:t>
      </w:r>
    </w:p>
    <w:p w14:paraId="2DABB26F" w14:textId="77777777" w:rsidR="00FB789E" w:rsidRDefault="00000000">
      <w:pPr>
        <w:overflowPunct w:val="0"/>
        <w:autoSpaceDE w:val="0"/>
        <w:autoSpaceDN w:val="0"/>
        <w:adjustRightInd w:val="0"/>
        <w:snapToGrid w:val="0"/>
        <w:spacing w:line="560" w:lineRule="exact"/>
        <w:ind w:firstLineChars="200" w:firstLine="643"/>
        <w:rPr>
          <w:rFonts w:ascii="仿宋_GB2312" w:eastAsia="仿宋_GB2312" w:hAnsi="宋体" w:hint="eastAsia"/>
          <w:color w:val="000000" w:themeColor="text1"/>
          <w:sz w:val="32"/>
          <w:szCs w:val="32"/>
        </w:rPr>
      </w:pPr>
      <w:r>
        <w:rPr>
          <w:rFonts w:ascii="仿宋_GB2312" w:eastAsia="仿宋_GB2312" w:hAnsi="宋体" w:hint="eastAsia"/>
          <w:b/>
          <w:bCs/>
          <w:color w:val="000000" w:themeColor="text1"/>
          <w:sz w:val="32"/>
          <w:szCs w:val="32"/>
        </w:rPr>
        <w:t>1.施工期噪声防治措施。</w:t>
      </w:r>
      <w:r>
        <w:rPr>
          <w:rFonts w:ascii="仿宋_GB2312" w:eastAsia="仿宋_GB2312" w:hAnsi="宋体" w:hint="eastAsia"/>
          <w:color w:val="000000" w:themeColor="text1"/>
          <w:sz w:val="32"/>
          <w:szCs w:val="32"/>
        </w:rPr>
        <w:t>合理安排施工作业时间，尽量避免夜间施工；尽量选用低噪声机械设备或带隔声、消声的设备，同时做好施工机械的维护和保养，有效降低机械设备运转的噪声源</w:t>
      </w:r>
      <w:r>
        <w:rPr>
          <w:rFonts w:ascii="仿宋_GB2312" w:eastAsia="仿宋_GB2312" w:hAnsi="宋体" w:hint="eastAsia"/>
          <w:color w:val="000000" w:themeColor="text1"/>
          <w:sz w:val="32"/>
          <w:szCs w:val="32"/>
        </w:rPr>
        <w:lastRenderedPageBreak/>
        <w:t>强；合理安排强噪声施工机械的工作频次，合理调配车辆来往行车密度；为高噪声源周围的施工机械操作人员配备耳塞或耳罩等必要的劳动防护用品。</w:t>
      </w:r>
    </w:p>
    <w:p w14:paraId="2EE91B9A" w14:textId="77777777" w:rsidR="00FB789E" w:rsidRDefault="00000000">
      <w:pPr>
        <w:overflowPunct w:val="0"/>
        <w:autoSpaceDE w:val="0"/>
        <w:autoSpaceDN w:val="0"/>
        <w:adjustRightInd w:val="0"/>
        <w:snapToGrid w:val="0"/>
        <w:spacing w:line="560" w:lineRule="exact"/>
        <w:ind w:firstLineChars="200" w:firstLine="643"/>
        <w:rPr>
          <w:rFonts w:ascii="仿宋_GB2312" w:eastAsia="仿宋_GB2312" w:hAnsi="宋体" w:hint="eastAsia"/>
          <w:b/>
          <w:bCs/>
          <w:color w:val="000000" w:themeColor="text1"/>
          <w:sz w:val="32"/>
          <w:szCs w:val="32"/>
        </w:rPr>
      </w:pPr>
      <w:r>
        <w:rPr>
          <w:rFonts w:ascii="仿宋_GB2312" w:eastAsia="仿宋_GB2312" w:hAnsi="宋体" w:hint="eastAsia"/>
          <w:b/>
          <w:bCs/>
          <w:color w:val="000000" w:themeColor="text1"/>
          <w:sz w:val="32"/>
          <w:szCs w:val="32"/>
        </w:rPr>
        <w:t>2.运营期噪声防治措施。</w:t>
      </w:r>
      <w:r>
        <w:rPr>
          <w:rFonts w:ascii="仿宋_GB2312" w:eastAsia="仿宋_GB2312" w:hint="eastAsia"/>
          <w:color w:val="000000" w:themeColor="text1"/>
          <w:sz w:val="32"/>
          <w:szCs w:val="32"/>
        </w:rPr>
        <w:t>选用低噪声设备、厂房封闭隔声、设备基础减振、加强设备维护。</w:t>
      </w:r>
    </w:p>
    <w:p w14:paraId="3FD49D2A" w14:textId="77777777" w:rsidR="00FB789E" w:rsidRDefault="00000000">
      <w:pPr>
        <w:overflowPunct w:val="0"/>
        <w:autoSpaceDE w:val="0"/>
        <w:autoSpaceDN w:val="0"/>
        <w:adjustRightInd w:val="0"/>
        <w:snapToGrid w:val="0"/>
        <w:spacing w:line="560" w:lineRule="exact"/>
        <w:ind w:firstLineChars="200" w:firstLine="640"/>
        <w:rPr>
          <w:rFonts w:ascii="方正楷体_GB2312" w:eastAsia="方正楷体_GB2312" w:hAnsi="楷体" w:cs="楷体" w:hint="eastAsia"/>
          <w:color w:val="000000" w:themeColor="text1"/>
          <w:sz w:val="32"/>
          <w:szCs w:val="32"/>
        </w:rPr>
      </w:pPr>
      <w:r>
        <w:rPr>
          <w:rFonts w:ascii="方正楷体_GB2312" w:eastAsia="方正楷体_GB2312" w:hAnsi="楷体" w:cs="楷体" w:hint="eastAsia"/>
          <w:color w:val="000000" w:themeColor="text1"/>
          <w:sz w:val="32"/>
          <w:szCs w:val="32"/>
        </w:rPr>
        <w:t>（四）固体废物处理及处置</w:t>
      </w:r>
    </w:p>
    <w:p w14:paraId="5A9E3344" w14:textId="77777777" w:rsidR="00FB789E" w:rsidRDefault="00000000">
      <w:pPr>
        <w:spacing w:line="560" w:lineRule="exact"/>
        <w:ind w:firstLineChars="200" w:firstLine="643"/>
        <w:rPr>
          <w:rFonts w:ascii="仿宋_GB2312" w:eastAsia="仿宋_GB2312" w:hAnsi="仿宋" w:cs="仿宋" w:hint="eastAsia"/>
          <w:color w:val="000000" w:themeColor="text1"/>
          <w:sz w:val="32"/>
          <w:szCs w:val="32"/>
        </w:rPr>
      </w:pPr>
      <w:r>
        <w:rPr>
          <w:rFonts w:ascii="仿宋_GB2312" w:eastAsia="仿宋_GB2312" w:hAnsi="宋体" w:hint="eastAsia"/>
          <w:b/>
          <w:bCs/>
          <w:color w:val="000000" w:themeColor="text1"/>
          <w:sz w:val="32"/>
          <w:szCs w:val="32"/>
        </w:rPr>
        <w:t>1.施工期固体废物防治措施。</w:t>
      </w:r>
      <w:r>
        <w:rPr>
          <w:rFonts w:ascii="仿宋_GB2312" w:eastAsia="仿宋_GB2312" w:hAnsi="宋体" w:hint="eastAsia"/>
          <w:color w:val="000000" w:themeColor="text1"/>
          <w:sz w:val="32"/>
          <w:szCs w:val="32"/>
        </w:rPr>
        <w:t>建筑垃圾中的钢材边角料、废弃包装材料已回收后外售；少量废石、废砖等全部用于达安煤矿工业场地场平；施工期生活垃圾收集后委托环卫部门收集处置。</w:t>
      </w:r>
    </w:p>
    <w:p w14:paraId="02219DD6" w14:textId="77777777" w:rsidR="00FB789E" w:rsidRDefault="00000000">
      <w:pPr>
        <w:pStyle w:val="2"/>
        <w:spacing w:line="560" w:lineRule="exact"/>
        <w:rPr>
          <w:rFonts w:ascii="仿宋_GB2312" w:eastAsia="仿宋_GB2312" w:hAnsi="Times New Roman"/>
          <w:color w:val="000000" w:themeColor="text1"/>
          <w:sz w:val="32"/>
          <w:szCs w:val="32"/>
          <w:lang w:eastAsia="zh-CN"/>
        </w:rPr>
      </w:pPr>
      <w:r>
        <w:rPr>
          <w:rFonts w:ascii="仿宋_GB2312" w:eastAsia="仿宋_GB2312" w:hAnsi="仿宋" w:cs="仿宋" w:hint="eastAsia"/>
          <w:b/>
          <w:bCs/>
          <w:color w:val="000000" w:themeColor="text1"/>
          <w:sz w:val="32"/>
          <w:szCs w:val="32"/>
          <w:lang w:eastAsia="zh-CN"/>
        </w:rPr>
        <w:t>2.</w:t>
      </w:r>
      <w:r>
        <w:rPr>
          <w:rFonts w:ascii="仿宋_GB2312" w:eastAsia="仿宋_GB2312" w:hAnsi="Times New Roman" w:hint="eastAsia"/>
          <w:b/>
          <w:bCs/>
          <w:color w:val="000000" w:themeColor="text1"/>
          <w:sz w:val="32"/>
          <w:szCs w:val="32"/>
          <w:lang w:eastAsia="zh-CN"/>
        </w:rPr>
        <w:t>运营期固体废物防治措施。</w:t>
      </w:r>
      <w:r>
        <w:rPr>
          <w:rFonts w:ascii="仿宋_GB2312" w:eastAsia="仿宋_GB2312" w:hAnsi="Times New Roman" w:hint="eastAsia"/>
          <w:color w:val="000000" w:themeColor="text1"/>
          <w:sz w:val="32"/>
          <w:szCs w:val="32"/>
          <w:lang w:eastAsia="zh-CN"/>
        </w:rPr>
        <w:t>一般固废：末矸石依托地面煤矸石充填站制浆后用于充填工作面充填；除尘灰润湿后混入末精煤，通过末精煤栈桥输送至精煤棚内外销；布袋除尘器废布袋每2年更换一次，暂存在干选车间内，交由除尘布袋厂家回收；沉淀池煤泥混入末精煤中外销</w:t>
      </w:r>
      <w:r>
        <w:rPr>
          <w:rFonts w:ascii="仿宋_GB2312" w:eastAsia="仿宋_GB2312" w:hint="eastAsia"/>
          <w:color w:val="000000" w:themeColor="text1"/>
          <w:kern w:val="2"/>
          <w:sz w:val="32"/>
          <w:szCs w:val="32"/>
          <w:lang w:eastAsia="zh-CN"/>
        </w:rPr>
        <w:t>;危险废物：废润滑油收集后置于密封</w:t>
      </w:r>
      <w:r>
        <w:rPr>
          <w:rFonts w:ascii="仿宋_GB2312" w:eastAsia="仿宋_GB2312" w:hAnsi="Times New Roman" w:hint="eastAsia"/>
          <w:color w:val="000000" w:themeColor="text1"/>
          <w:sz w:val="32"/>
          <w:szCs w:val="32"/>
          <w:lang w:eastAsia="zh-CN"/>
        </w:rPr>
        <w:t>桶内，暂存于达安煤矿工业场地拟建的危险废物暂存间，由煤矿统一委托有资质单位处理；废润滑油桶加盖密闭，暂存于达安煤矿工业场地拟建的危险废物暂存间，由煤矿统一委托有资质单位处理。</w:t>
      </w:r>
    </w:p>
    <w:p w14:paraId="5EB0BDF5" w14:textId="77777777" w:rsidR="00FB789E" w:rsidRDefault="00000000">
      <w:pPr>
        <w:pStyle w:val="2"/>
        <w:spacing w:line="560" w:lineRule="exact"/>
        <w:rPr>
          <w:rFonts w:ascii="仿宋_GB2312" w:eastAsia="仿宋_GB2312"/>
          <w:color w:val="000000" w:themeColor="text1"/>
          <w:kern w:val="2"/>
          <w:sz w:val="32"/>
          <w:szCs w:val="32"/>
          <w:lang w:eastAsia="zh-CN"/>
        </w:rPr>
      </w:pPr>
      <w:r>
        <w:rPr>
          <w:rFonts w:ascii="方正楷体_GB2312" w:eastAsia="方正楷体_GB2312" w:hAnsi="楷体" w:cs="楷体" w:hint="eastAsia"/>
          <w:color w:val="000000" w:themeColor="text1"/>
          <w:sz w:val="32"/>
          <w:szCs w:val="32"/>
          <w:lang w:eastAsia="zh-CN"/>
        </w:rPr>
        <w:t>（五）土壤、地下水保护措施。</w:t>
      </w:r>
      <w:r>
        <w:rPr>
          <w:rFonts w:ascii="Times New Roman" w:eastAsia="仿宋_GB2312" w:hAnsi="Times New Roman" w:hint="eastAsia"/>
          <w:sz w:val="32"/>
          <w:szCs w:val="32"/>
          <w:lang w:eastAsia="zh-CN"/>
        </w:rPr>
        <w:t>源头控制措施：加强生产设备维护保养，确保生产设备处于正常工况，不会出现润滑油跑、冒、漏的现象。</w:t>
      </w:r>
    </w:p>
    <w:p w14:paraId="3D744815" w14:textId="77777777" w:rsidR="00FB789E" w:rsidRDefault="00000000">
      <w:pPr>
        <w:pStyle w:val="2"/>
        <w:spacing w:line="560" w:lineRule="exact"/>
        <w:rPr>
          <w:rFonts w:ascii="仿宋_GB2312" w:eastAsia="仿宋_GB2312"/>
          <w:color w:val="000000" w:themeColor="text1"/>
          <w:kern w:val="2"/>
          <w:sz w:val="32"/>
          <w:szCs w:val="32"/>
          <w:lang w:eastAsia="zh-CN"/>
        </w:rPr>
      </w:pPr>
      <w:r>
        <w:rPr>
          <w:rFonts w:ascii="仿宋_GB2312" w:eastAsia="仿宋_GB2312" w:hint="eastAsia"/>
          <w:color w:val="000000" w:themeColor="text1"/>
          <w:kern w:val="2"/>
          <w:sz w:val="32"/>
          <w:szCs w:val="32"/>
          <w:lang w:eastAsia="zh-CN"/>
        </w:rPr>
        <w:t>分区防渗控制措施：项目皮带输送机原煤不落地，TGS干选车间地面及沉淀池为一般防渗区，采取混凝土硬化防渗措施，地面防渗性能均满足一般防渗要求（防渗技术要求等效黏土防渗层</w:t>
      </w:r>
      <w:r>
        <w:rPr>
          <w:rFonts w:ascii="仿宋_GB2312" w:eastAsia="仿宋_GB2312" w:hint="eastAsia"/>
          <w:color w:val="000000" w:themeColor="text1"/>
          <w:kern w:val="2"/>
          <w:sz w:val="32"/>
          <w:szCs w:val="32"/>
          <w:lang w:eastAsia="zh-CN"/>
        </w:rPr>
        <w:lastRenderedPageBreak/>
        <w:t>Mb≥1.5m，渗透系数≤1.0×10</w:t>
      </w:r>
      <w:r>
        <w:rPr>
          <w:rFonts w:ascii="仿宋_GB2312" w:eastAsia="仿宋_GB2312" w:hint="eastAsia"/>
          <w:color w:val="000000" w:themeColor="text1"/>
          <w:kern w:val="2"/>
          <w:sz w:val="32"/>
          <w:szCs w:val="32"/>
          <w:vertAlign w:val="superscript"/>
          <w:lang w:eastAsia="zh-CN"/>
        </w:rPr>
        <w:t>-7</w:t>
      </w:r>
      <w:r>
        <w:rPr>
          <w:rFonts w:ascii="仿宋_GB2312" w:eastAsia="仿宋_GB2312" w:hint="eastAsia"/>
          <w:color w:val="000000" w:themeColor="text1"/>
          <w:kern w:val="2"/>
          <w:sz w:val="32"/>
          <w:szCs w:val="32"/>
          <w:lang w:eastAsia="zh-CN"/>
        </w:rPr>
        <w:t>cm/s）。</w:t>
      </w:r>
    </w:p>
    <w:p w14:paraId="30FE2393" w14:textId="77777777" w:rsidR="00FB789E" w:rsidRDefault="00000000">
      <w:pPr>
        <w:pStyle w:val="10"/>
        <w:spacing w:line="560" w:lineRule="exact"/>
        <w:ind w:firstLine="640"/>
        <w:rPr>
          <w:rFonts w:ascii="Times New Roman" w:eastAsia="仿宋_GB2312" w:hAnsi="Times New Roman"/>
          <w:kern w:val="0"/>
          <w:sz w:val="32"/>
          <w:szCs w:val="32"/>
        </w:rPr>
      </w:pPr>
      <w:r>
        <w:rPr>
          <w:rFonts w:ascii="方正楷体_GB2312" w:eastAsia="方正楷体_GB2312" w:hAnsi="楷体" w:cs="楷体" w:hint="eastAsia"/>
          <w:color w:val="000000" w:themeColor="text1"/>
          <w:kern w:val="0"/>
          <w:sz w:val="32"/>
          <w:szCs w:val="32"/>
        </w:rPr>
        <w:t>（六）生态保护措施。</w:t>
      </w:r>
      <w:r>
        <w:rPr>
          <w:rFonts w:ascii="Times New Roman" w:eastAsia="仿宋_GB2312" w:hAnsi="Times New Roman" w:hint="eastAsia"/>
          <w:kern w:val="0"/>
          <w:sz w:val="32"/>
          <w:szCs w:val="32"/>
        </w:rPr>
        <w:t>待达安煤矿地面设施和选煤厂施工完成后，统一进行永久占地植被恢复。</w:t>
      </w:r>
    </w:p>
    <w:p w14:paraId="20A77EFE" w14:textId="77777777" w:rsidR="00FB789E" w:rsidRDefault="00000000">
      <w:pPr>
        <w:pStyle w:val="10"/>
        <w:spacing w:line="560" w:lineRule="exact"/>
        <w:ind w:firstLine="640"/>
        <w:rPr>
          <w:rFonts w:ascii="Times New Roman" w:eastAsia="仿宋_GB2312" w:hAnsi="Times New Roman"/>
          <w:kern w:val="0"/>
          <w:sz w:val="32"/>
          <w:szCs w:val="32"/>
        </w:rPr>
      </w:pPr>
      <w:r>
        <w:rPr>
          <w:rFonts w:ascii="方正楷体_GB2312" w:eastAsia="方正楷体_GB2312" w:hAnsi="楷体" w:cs="楷体" w:hint="eastAsia"/>
          <w:color w:val="000000" w:themeColor="text1"/>
          <w:kern w:val="0"/>
          <w:sz w:val="32"/>
          <w:szCs w:val="32"/>
        </w:rPr>
        <w:t>（七）风险防范措施。</w:t>
      </w:r>
      <w:r>
        <w:rPr>
          <w:rFonts w:ascii="Times New Roman" w:eastAsia="仿宋_GB2312" w:hAnsi="Times New Roman"/>
          <w:kern w:val="0"/>
          <w:sz w:val="32"/>
          <w:szCs w:val="32"/>
        </w:rPr>
        <w:t>煤堆应层层压实，减少与空气的接触面，以减少氧化的可能性，也可对煤堆采取必要的通风措施，以散发煤堆里的热量。应保持煤堆的湿度，做好储煤场所的排水工作和防雨工作。环境风险物质泄</w:t>
      </w:r>
      <w:r>
        <w:rPr>
          <w:rFonts w:ascii="Times New Roman" w:eastAsia="仿宋_GB2312" w:hAnsi="Times New Roman" w:hint="eastAsia"/>
          <w:kern w:val="0"/>
          <w:sz w:val="32"/>
          <w:szCs w:val="32"/>
        </w:rPr>
        <w:t>漏</w:t>
      </w:r>
      <w:r>
        <w:rPr>
          <w:rFonts w:ascii="Times New Roman" w:eastAsia="仿宋_GB2312" w:hAnsi="Times New Roman"/>
          <w:kern w:val="0"/>
          <w:sz w:val="32"/>
          <w:szCs w:val="32"/>
        </w:rPr>
        <w:t>防范措施：立即暂存于煤矿危险废物暂存库，后交由有资质单位处置，不在车间内存储。</w:t>
      </w:r>
    </w:p>
    <w:p w14:paraId="54BF9FC7" w14:textId="77777777" w:rsidR="00FB789E" w:rsidRDefault="00000000">
      <w:pPr>
        <w:overflowPunct w:val="0"/>
        <w:autoSpaceDE w:val="0"/>
        <w:autoSpaceDN w:val="0"/>
        <w:adjustRightInd w:val="0"/>
        <w:snapToGrid w:val="0"/>
        <w:spacing w:line="560" w:lineRule="exact"/>
        <w:ind w:firstLineChars="200" w:firstLine="640"/>
        <w:rPr>
          <w:rFonts w:ascii="黑体" w:eastAsia="黑体" w:hAnsi="黑体" w:hint="eastAsia"/>
          <w:color w:val="000000" w:themeColor="text1"/>
          <w:sz w:val="32"/>
          <w:szCs w:val="32"/>
        </w:rPr>
      </w:pPr>
      <w:r>
        <w:rPr>
          <w:rFonts w:ascii="黑体" w:eastAsia="黑体" w:hAnsi="黑体" w:hint="eastAsia"/>
          <w:color w:val="000000" w:themeColor="text1"/>
          <w:sz w:val="32"/>
          <w:szCs w:val="32"/>
        </w:rPr>
        <w:t>三、项目建设必须严格执行环境保护设施与主体工程同时设计、同时施工、同时投入使用的环境保护“三同时”制度:</w:t>
      </w:r>
    </w:p>
    <w:p w14:paraId="56617666" w14:textId="77777777" w:rsidR="00FB789E" w:rsidRDefault="00000000">
      <w:pPr>
        <w:overflowPunct w:val="0"/>
        <w:autoSpaceDE w:val="0"/>
        <w:autoSpaceDN w:val="0"/>
        <w:adjustRightInd w:val="0"/>
        <w:snapToGrid w:val="0"/>
        <w:spacing w:line="560" w:lineRule="exact"/>
        <w:ind w:firstLineChars="200" w:firstLine="640"/>
        <w:rPr>
          <w:rFonts w:ascii="仿宋_GB2312" w:eastAsia="仿宋_GB2312" w:hAnsi="宋体" w:hint="eastAsia"/>
          <w:color w:val="000000" w:themeColor="text1"/>
          <w:sz w:val="32"/>
          <w:szCs w:val="32"/>
        </w:rPr>
      </w:pPr>
      <w:r>
        <w:rPr>
          <w:rFonts w:ascii="仿宋_GB2312" w:eastAsia="仿宋_GB2312" w:hAnsi="宋体" w:hint="eastAsia"/>
          <w:color w:val="000000" w:themeColor="text1"/>
          <w:sz w:val="32"/>
          <w:szCs w:val="32"/>
        </w:rPr>
        <w:t>（一）要将环境保护措施纳入初步设计报告并落实环保设施投资概算。</w:t>
      </w:r>
    </w:p>
    <w:p w14:paraId="7408107A" w14:textId="77777777" w:rsidR="00FB789E" w:rsidRDefault="00000000">
      <w:pPr>
        <w:overflowPunct w:val="0"/>
        <w:autoSpaceDE w:val="0"/>
        <w:autoSpaceDN w:val="0"/>
        <w:adjustRightInd w:val="0"/>
        <w:snapToGrid w:val="0"/>
        <w:spacing w:line="560" w:lineRule="exact"/>
        <w:ind w:firstLineChars="200" w:firstLine="640"/>
        <w:rPr>
          <w:rFonts w:ascii="仿宋_GB2312" w:eastAsia="仿宋_GB2312" w:hAnsi="宋体" w:hint="eastAsia"/>
          <w:color w:val="000000" w:themeColor="text1"/>
          <w:sz w:val="32"/>
          <w:szCs w:val="32"/>
        </w:rPr>
      </w:pPr>
      <w:r>
        <w:rPr>
          <w:rFonts w:ascii="仿宋_GB2312" w:eastAsia="仿宋_GB2312" w:hAnsi="宋体" w:hint="eastAsia"/>
          <w:color w:val="000000" w:themeColor="text1"/>
          <w:sz w:val="32"/>
          <w:szCs w:val="32"/>
        </w:rPr>
        <w:t>（二）要将环境保护设施建设纳入施工合同，保证环境保护设施建设进度和资金。</w:t>
      </w:r>
    </w:p>
    <w:p w14:paraId="746D07F6" w14:textId="77777777" w:rsidR="00FB789E" w:rsidRDefault="00000000">
      <w:pPr>
        <w:overflowPunct w:val="0"/>
        <w:autoSpaceDE w:val="0"/>
        <w:autoSpaceDN w:val="0"/>
        <w:adjustRightInd w:val="0"/>
        <w:snapToGrid w:val="0"/>
        <w:spacing w:line="560" w:lineRule="exact"/>
        <w:ind w:firstLineChars="200" w:firstLine="640"/>
        <w:rPr>
          <w:rFonts w:ascii="仿宋_GB2312" w:eastAsia="仿宋_GB2312" w:hAnsi="宋体" w:hint="eastAsia"/>
          <w:color w:val="000000" w:themeColor="text1"/>
          <w:sz w:val="32"/>
          <w:szCs w:val="32"/>
        </w:rPr>
      </w:pPr>
      <w:r>
        <w:rPr>
          <w:rFonts w:ascii="仿宋_GB2312" w:eastAsia="仿宋_GB2312" w:hAnsi="宋体" w:hint="eastAsia"/>
          <w:color w:val="000000" w:themeColor="text1"/>
          <w:sz w:val="32"/>
          <w:szCs w:val="32"/>
        </w:rPr>
        <w:t>（三）项目竣工后，须按规定程序实施竣工环境保护验收，验收合格后方可正式投运。</w:t>
      </w:r>
    </w:p>
    <w:p w14:paraId="15D75B16" w14:textId="77777777" w:rsidR="00FB789E" w:rsidRDefault="00000000">
      <w:pPr>
        <w:overflowPunct w:val="0"/>
        <w:autoSpaceDE w:val="0"/>
        <w:autoSpaceDN w:val="0"/>
        <w:adjustRightInd w:val="0"/>
        <w:snapToGrid w:val="0"/>
        <w:spacing w:line="560" w:lineRule="exact"/>
        <w:ind w:firstLineChars="200" w:firstLine="640"/>
        <w:rPr>
          <w:rFonts w:ascii="仿宋_GB2312" w:eastAsia="仿宋_GB2312" w:hAnsi="宋体" w:hint="eastAsia"/>
          <w:color w:val="000000" w:themeColor="text1"/>
          <w:sz w:val="32"/>
          <w:szCs w:val="32"/>
        </w:rPr>
      </w:pPr>
      <w:r>
        <w:rPr>
          <w:rFonts w:ascii="仿宋_GB2312" w:eastAsia="仿宋_GB2312" w:hAnsi="宋体" w:hint="eastAsia"/>
          <w:color w:val="000000" w:themeColor="text1"/>
          <w:sz w:val="32"/>
          <w:szCs w:val="32"/>
        </w:rPr>
        <w:t>（四）环境影响报告表批准后，项目性质、规模、地点、采用的生产工艺或者防治污染措施发生重大变动的，应当重新报批该项目环境影响报告表。自环境影响报告表批复文件批准之日起，如超过五年工程才决定开工的，应当在开工前将《报告表》报有审批权的生态环境主管部门重新审核。</w:t>
      </w:r>
    </w:p>
    <w:p w14:paraId="01CE1212" w14:textId="77777777" w:rsidR="00FB789E" w:rsidRDefault="00000000">
      <w:pPr>
        <w:overflowPunct w:val="0"/>
        <w:autoSpaceDE w:val="0"/>
        <w:autoSpaceDN w:val="0"/>
        <w:adjustRightInd w:val="0"/>
        <w:snapToGrid w:val="0"/>
        <w:spacing w:line="560" w:lineRule="exact"/>
        <w:ind w:firstLineChars="200" w:firstLine="640"/>
        <w:rPr>
          <w:rFonts w:ascii="仿宋_GB2312" w:eastAsia="仿宋_GB2312" w:hAnsi="宋体" w:hint="eastAsia"/>
          <w:color w:val="000000" w:themeColor="text1"/>
          <w:sz w:val="32"/>
          <w:szCs w:val="32"/>
        </w:rPr>
      </w:pPr>
      <w:r>
        <w:rPr>
          <w:rFonts w:ascii="仿宋_GB2312" w:eastAsia="仿宋_GB2312" w:hAnsi="宋体" w:hint="eastAsia"/>
          <w:color w:val="000000" w:themeColor="text1"/>
          <w:sz w:val="32"/>
          <w:szCs w:val="32"/>
        </w:rPr>
        <w:t>（五）锡林郭勒盟生态环境局阿巴嘎旗分局和阿巴嘎旗生态环境综合行政执法大队对该项目建设期和运营期各项生态环境保护措施落实情况进行监督检查和管理。</w:t>
      </w:r>
    </w:p>
    <w:p w14:paraId="5997DD0F" w14:textId="77777777" w:rsidR="00FB789E" w:rsidRDefault="00000000">
      <w:pPr>
        <w:overflowPunct w:val="0"/>
        <w:autoSpaceDE w:val="0"/>
        <w:autoSpaceDN w:val="0"/>
        <w:adjustRightInd w:val="0"/>
        <w:snapToGrid w:val="0"/>
        <w:spacing w:line="560" w:lineRule="exact"/>
        <w:ind w:firstLineChars="200" w:firstLine="640"/>
        <w:rPr>
          <w:rFonts w:ascii="仿宋_GB2312" w:eastAsia="仿宋_GB2312" w:hAnsi="宋体" w:hint="eastAsia"/>
          <w:color w:val="000000" w:themeColor="text1"/>
          <w:sz w:val="32"/>
          <w:szCs w:val="32"/>
        </w:rPr>
      </w:pPr>
      <w:r>
        <w:rPr>
          <w:rFonts w:ascii="仿宋_GB2312" w:eastAsia="仿宋_GB2312" w:hAnsi="宋体" w:hint="eastAsia"/>
          <w:color w:val="000000" w:themeColor="text1"/>
          <w:sz w:val="32"/>
          <w:szCs w:val="32"/>
        </w:rPr>
        <w:lastRenderedPageBreak/>
        <w:t xml:space="preserve">          </w:t>
      </w:r>
    </w:p>
    <w:p w14:paraId="32085BD9" w14:textId="77777777" w:rsidR="00FB789E" w:rsidRDefault="00FB789E">
      <w:pPr>
        <w:overflowPunct w:val="0"/>
        <w:autoSpaceDE w:val="0"/>
        <w:autoSpaceDN w:val="0"/>
        <w:adjustRightInd w:val="0"/>
        <w:snapToGrid w:val="0"/>
        <w:spacing w:line="560" w:lineRule="exact"/>
        <w:ind w:firstLineChars="200" w:firstLine="640"/>
        <w:rPr>
          <w:rFonts w:ascii="仿宋_GB2312" w:eastAsia="仿宋_GB2312" w:hAnsi="宋体" w:hint="eastAsia"/>
          <w:color w:val="000000" w:themeColor="text1"/>
          <w:sz w:val="32"/>
          <w:szCs w:val="32"/>
        </w:rPr>
      </w:pPr>
    </w:p>
    <w:p w14:paraId="05B864AF" w14:textId="77777777" w:rsidR="00FB789E" w:rsidRDefault="00FB789E">
      <w:pPr>
        <w:overflowPunct w:val="0"/>
        <w:autoSpaceDE w:val="0"/>
        <w:autoSpaceDN w:val="0"/>
        <w:adjustRightInd w:val="0"/>
        <w:snapToGrid w:val="0"/>
        <w:spacing w:line="560" w:lineRule="exact"/>
        <w:ind w:firstLineChars="200" w:firstLine="640"/>
        <w:rPr>
          <w:rFonts w:ascii="仿宋_GB2312" w:eastAsia="仿宋_GB2312" w:hAnsi="宋体" w:hint="eastAsia"/>
          <w:color w:val="000000" w:themeColor="text1"/>
          <w:sz w:val="32"/>
          <w:szCs w:val="32"/>
        </w:rPr>
      </w:pPr>
    </w:p>
    <w:p w14:paraId="0DFB40AE" w14:textId="77777777" w:rsidR="00FB789E" w:rsidRDefault="00FB789E">
      <w:pPr>
        <w:overflowPunct w:val="0"/>
        <w:autoSpaceDE w:val="0"/>
        <w:autoSpaceDN w:val="0"/>
        <w:adjustRightInd w:val="0"/>
        <w:snapToGrid w:val="0"/>
        <w:spacing w:line="560" w:lineRule="exact"/>
        <w:ind w:firstLineChars="200" w:firstLine="640"/>
        <w:rPr>
          <w:rFonts w:ascii="仿宋_GB2312" w:eastAsia="仿宋_GB2312" w:hAnsi="宋体" w:hint="eastAsia"/>
          <w:color w:val="000000" w:themeColor="text1"/>
          <w:sz w:val="32"/>
          <w:szCs w:val="32"/>
        </w:rPr>
      </w:pPr>
    </w:p>
    <w:p w14:paraId="7AED020A" w14:textId="77777777" w:rsidR="00FB789E" w:rsidRDefault="00000000">
      <w:pPr>
        <w:overflowPunct w:val="0"/>
        <w:autoSpaceDE w:val="0"/>
        <w:autoSpaceDN w:val="0"/>
        <w:adjustRightInd w:val="0"/>
        <w:snapToGrid w:val="0"/>
        <w:spacing w:line="560" w:lineRule="exact"/>
        <w:jc w:val="right"/>
        <w:rPr>
          <w:rFonts w:ascii="仿宋_GB2312" w:eastAsia="仿宋_GB2312" w:hAnsi="宋体" w:hint="eastAsia"/>
          <w:color w:val="000000" w:themeColor="text1"/>
          <w:sz w:val="32"/>
          <w:szCs w:val="32"/>
        </w:rPr>
      </w:pPr>
      <w:r>
        <w:rPr>
          <w:rFonts w:ascii="仿宋_GB2312" w:eastAsia="仿宋_GB2312" w:hAnsi="宋体" w:hint="eastAsia"/>
          <w:color w:val="000000" w:themeColor="text1"/>
          <w:sz w:val="32"/>
          <w:szCs w:val="32"/>
        </w:rPr>
        <w:t>锡林郭勒盟生态环境局</w:t>
      </w:r>
    </w:p>
    <w:p w14:paraId="717427A0" w14:textId="59320471" w:rsidR="00FB789E" w:rsidRDefault="00000000">
      <w:pPr>
        <w:kinsoku w:val="0"/>
        <w:overflowPunct w:val="0"/>
        <w:autoSpaceDE w:val="0"/>
        <w:autoSpaceDN w:val="0"/>
        <w:adjustRightInd w:val="0"/>
        <w:snapToGrid w:val="0"/>
        <w:spacing w:line="560" w:lineRule="exact"/>
        <w:rPr>
          <w:rFonts w:ascii="仿宋_GB2312" w:eastAsia="仿宋_GB2312" w:hAnsi="宋体" w:hint="eastAsia"/>
          <w:color w:val="000000" w:themeColor="text1"/>
          <w:sz w:val="32"/>
          <w:szCs w:val="32"/>
        </w:rPr>
      </w:pPr>
      <w:r>
        <w:rPr>
          <w:rFonts w:ascii="仿宋_GB2312" w:eastAsia="仿宋_GB2312" w:hAnsi="宋体" w:hint="eastAsia"/>
          <w:color w:val="000000" w:themeColor="text1"/>
          <w:sz w:val="32"/>
          <w:szCs w:val="32"/>
        </w:rPr>
        <w:t xml:space="preserve">                               </w:t>
      </w:r>
      <w:r>
        <w:rPr>
          <w:rFonts w:ascii="仿宋_GB2312" w:eastAsia="仿宋_GB2312" w:hAnsi="宋体"/>
          <w:color w:val="000000" w:themeColor="text1"/>
          <w:sz w:val="32"/>
          <w:szCs w:val="32"/>
        </w:rPr>
        <w:t xml:space="preserve">     </w:t>
      </w:r>
      <w:r>
        <w:rPr>
          <w:rFonts w:ascii="仿宋_GB2312" w:eastAsia="仿宋_GB2312" w:hAnsi="宋体" w:hint="eastAsia"/>
          <w:color w:val="000000" w:themeColor="text1"/>
          <w:sz w:val="32"/>
          <w:szCs w:val="32"/>
        </w:rPr>
        <w:t xml:space="preserve">   2025年</w:t>
      </w:r>
      <w:r w:rsidR="00F31FDF">
        <w:rPr>
          <w:rFonts w:ascii="仿宋_GB2312" w:eastAsia="仿宋_GB2312" w:hAnsi="宋体" w:hint="eastAsia"/>
          <w:color w:val="000000" w:themeColor="text1"/>
          <w:sz w:val="32"/>
          <w:szCs w:val="32"/>
        </w:rPr>
        <w:t>9</w:t>
      </w:r>
      <w:r>
        <w:rPr>
          <w:rFonts w:ascii="仿宋_GB2312" w:eastAsia="仿宋_GB2312" w:hAnsi="宋体" w:hint="eastAsia"/>
          <w:color w:val="000000" w:themeColor="text1"/>
          <w:sz w:val="32"/>
          <w:szCs w:val="32"/>
        </w:rPr>
        <w:t>月</w:t>
      </w:r>
      <w:r w:rsidR="00F31FDF">
        <w:rPr>
          <w:rFonts w:ascii="仿宋_GB2312" w:eastAsia="仿宋_GB2312" w:hAnsi="宋体" w:hint="eastAsia"/>
          <w:color w:val="000000" w:themeColor="text1"/>
          <w:sz w:val="32"/>
          <w:szCs w:val="32"/>
        </w:rPr>
        <w:t>25</w:t>
      </w:r>
      <w:r>
        <w:rPr>
          <w:rFonts w:ascii="仿宋_GB2312" w:eastAsia="仿宋_GB2312" w:hAnsi="宋体" w:hint="eastAsia"/>
          <w:color w:val="000000" w:themeColor="text1"/>
          <w:sz w:val="32"/>
          <w:szCs w:val="32"/>
        </w:rPr>
        <w:t>日</w:t>
      </w:r>
    </w:p>
    <w:p w14:paraId="102117D8" w14:textId="77777777" w:rsidR="00FB789E" w:rsidRDefault="00FB789E">
      <w:pPr>
        <w:pStyle w:val="2"/>
        <w:ind w:firstLine="0"/>
        <w:rPr>
          <w:color w:val="000000" w:themeColor="text1"/>
          <w:lang w:eastAsia="zh-CN"/>
        </w:rPr>
      </w:pPr>
    </w:p>
    <w:p w14:paraId="609C708A" w14:textId="77777777" w:rsidR="00FB789E" w:rsidRDefault="00FB789E"/>
    <w:p w14:paraId="6C964B60" w14:textId="77777777" w:rsidR="00FB789E" w:rsidRDefault="00FB789E">
      <w:pPr>
        <w:pStyle w:val="2"/>
        <w:rPr>
          <w:lang w:eastAsia="zh-CN"/>
        </w:rPr>
      </w:pPr>
    </w:p>
    <w:p w14:paraId="5CD69BA2" w14:textId="77777777" w:rsidR="00FB789E" w:rsidRDefault="00FB789E"/>
    <w:p w14:paraId="301D7623" w14:textId="77777777" w:rsidR="00FB789E" w:rsidRDefault="00FB789E">
      <w:pPr>
        <w:pStyle w:val="2"/>
        <w:rPr>
          <w:lang w:eastAsia="zh-CN"/>
        </w:rPr>
      </w:pPr>
    </w:p>
    <w:p w14:paraId="7549DFD9" w14:textId="77777777" w:rsidR="00FB789E" w:rsidRDefault="00FB789E"/>
    <w:p w14:paraId="2E1D7E72" w14:textId="77777777" w:rsidR="00FB789E" w:rsidRDefault="00FB789E">
      <w:pPr>
        <w:pStyle w:val="2"/>
        <w:rPr>
          <w:lang w:eastAsia="zh-CN"/>
        </w:rPr>
      </w:pPr>
    </w:p>
    <w:p w14:paraId="3C88A392" w14:textId="77777777" w:rsidR="00FB789E" w:rsidRDefault="00FB789E"/>
    <w:p w14:paraId="60F7EECE" w14:textId="77777777" w:rsidR="00FB789E" w:rsidRDefault="00FB789E"/>
    <w:p w14:paraId="22913BB7" w14:textId="77777777" w:rsidR="00FB789E" w:rsidRDefault="00FB789E">
      <w:pPr>
        <w:pStyle w:val="2"/>
        <w:rPr>
          <w:color w:val="000000" w:themeColor="text1"/>
          <w:lang w:eastAsia="zh-CN"/>
        </w:rPr>
      </w:pPr>
    </w:p>
    <w:p w14:paraId="38AC9E04" w14:textId="77777777" w:rsidR="00FB789E" w:rsidRDefault="00FB789E">
      <w:pPr>
        <w:rPr>
          <w:color w:val="000000" w:themeColor="text1"/>
        </w:rPr>
      </w:pPr>
    </w:p>
    <w:p w14:paraId="5136E4AE" w14:textId="77777777" w:rsidR="00FB789E" w:rsidRDefault="00FB789E">
      <w:pPr>
        <w:rPr>
          <w:color w:val="000000" w:themeColor="text1"/>
        </w:rPr>
      </w:pPr>
    </w:p>
    <w:p w14:paraId="41EFD043" w14:textId="77777777" w:rsidR="00FB789E" w:rsidRDefault="00FB789E">
      <w:pPr>
        <w:pStyle w:val="2"/>
        <w:ind w:firstLine="420"/>
        <w:rPr>
          <w:lang w:eastAsia="zh-CN"/>
        </w:rPr>
      </w:pPr>
    </w:p>
    <w:p w14:paraId="28156725" w14:textId="77777777" w:rsidR="00FB789E" w:rsidRDefault="00FB789E"/>
    <w:p w14:paraId="5822B0E2" w14:textId="77777777" w:rsidR="00FB789E" w:rsidRDefault="00FB789E">
      <w:pPr>
        <w:rPr>
          <w:color w:val="000000" w:themeColor="text1"/>
        </w:rPr>
      </w:pPr>
    </w:p>
    <w:p w14:paraId="45E8C204" w14:textId="77777777" w:rsidR="00FB789E" w:rsidRDefault="00000000">
      <w:pPr>
        <w:spacing w:line="560" w:lineRule="exact"/>
        <w:ind w:firstLineChars="100" w:firstLine="280"/>
        <w:rPr>
          <w:rFonts w:ascii="仿宋_GB2312" w:eastAsia="仿宋_GB2312" w:hAnsi="仿宋_GB2312" w:cs="仿宋_GB2312" w:hint="eastAsia"/>
          <w:color w:val="000000" w:themeColor="text1"/>
          <w:sz w:val="28"/>
          <w:szCs w:val="28"/>
        </w:rPr>
      </w:pPr>
      <w:r>
        <w:rPr>
          <w:rFonts w:ascii="仿宋_GB2312" w:eastAsia="仿宋_GB2312" w:hAnsi="仿宋_GB2312" w:cs="仿宋_GB2312" w:hint="eastAsia"/>
          <w:noProof/>
          <w:color w:val="000000" w:themeColor="text1"/>
          <w:sz w:val="28"/>
          <w:szCs w:val="28"/>
        </w:rPr>
        <mc:AlternateContent>
          <mc:Choice Requires="wps">
            <w:drawing>
              <wp:anchor distT="0" distB="0" distL="114300" distR="114300" simplePos="0" relativeHeight="251659264" behindDoc="0" locked="0" layoutInCell="1" allowOverlap="1" wp14:anchorId="2A4CD1DF" wp14:editId="601C25DC">
                <wp:simplePos x="0" y="0"/>
                <wp:positionH relativeFrom="column">
                  <wp:posOffset>12700</wp:posOffset>
                </wp:positionH>
                <wp:positionV relativeFrom="paragraph">
                  <wp:posOffset>36195</wp:posOffset>
                </wp:positionV>
                <wp:extent cx="5612130" cy="635"/>
                <wp:effectExtent l="0" t="0" r="0" b="0"/>
                <wp:wrapNone/>
                <wp:docPr id="1" name="直接连接符 3"/>
                <wp:cNvGraphicFramePr/>
                <a:graphic xmlns:a="http://schemas.openxmlformats.org/drawingml/2006/main">
                  <a:graphicData uri="http://schemas.microsoft.com/office/word/2010/wordprocessingShape">
                    <wps:wsp>
                      <wps:cNvCnPr/>
                      <wps:spPr>
                        <a:xfrm>
                          <a:off x="0" y="0"/>
                          <a:ext cx="5612130" cy="635"/>
                        </a:xfrm>
                        <a:prstGeom prst="straightConnector1">
                          <a:avLst/>
                        </a:prstGeom>
                        <a:ln w="3175" cap="flat" cmpd="sng">
                          <a:solidFill>
                            <a:srgbClr val="000000"/>
                          </a:solidFill>
                          <a:prstDash val="solid"/>
                          <a:headEnd type="none" w="med" len="med"/>
                          <a:tailEnd type="none" w="med" len="med"/>
                        </a:ln>
                      </wps:spPr>
                      <wps:bodyPr/>
                    </wps:wsp>
                  </a:graphicData>
                </a:graphic>
              </wp:anchor>
            </w:drawing>
          </mc:Choice>
          <mc:Fallback>
            <w:pict>
              <v:shapetype w14:anchorId="48404668" id="_x0000_t32" coordsize="21600,21600" o:spt="32" o:oned="t" path="m,l21600,21600e" filled="f">
                <v:path arrowok="t" fillok="f" o:connecttype="none"/>
                <o:lock v:ext="edit" shapetype="t"/>
              </v:shapetype>
              <v:shape id="直接连接符 3" o:spid="_x0000_s1026" type="#_x0000_t32" style="position:absolute;margin-left:1pt;margin-top:2.85pt;width:441.9pt;height:.0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" strokeweight=".25pt"/>
            </w:pict>
          </mc:Fallback>
        </mc:AlternateContent>
      </w:r>
      <w:r>
        <w:rPr>
          <w:rFonts w:ascii="仿宋_GB2312" w:eastAsia="仿宋_GB2312" w:hAnsi="仿宋_GB2312" w:cs="仿宋_GB2312" w:hint="eastAsia"/>
          <w:color w:val="000000" w:themeColor="text1"/>
          <w:sz w:val="28"/>
          <w:szCs w:val="28"/>
        </w:rPr>
        <w:t>抄送：盟生态环境综合行政执法支队、盟生态环境局阿巴嘎旗分局</w:t>
      </w:r>
    </w:p>
    <w:p w14:paraId="0D67ED38" w14:textId="29743914" w:rsidR="00FB789E" w:rsidRDefault="00000000">
      <w:pPr>
        <w:pStyle w:val="aa"/>
        <w:pBdr>
          <w:top w:val="single" w:sz="4" w:space="0" w:color="auto"/>
          <w:bottom w:val="single" w:sz="4" w:space="0" w:color="auto"/>
        </w:pBdr>
        <w:spacing w:beforeLines="20" w:before="62" w:line="560" w:lineRule="exact"/>
        <w:ind w:firstLineChars="100" w:firstLine="280"/>
        <w:jc w:val="both"/>
        <w:rPr>
          <w:color w:val="000000" w:themeColor="text1"/>
        </w:rPr>
      </w:pPr>
      <w:r>
        <w:rPr>
          <w:rFonts w:ascii="仿宋_GB2312" w:eastAsia="仿宋_GB2312" w:hAnsi="仿宋_GB2312" w:cs="仿宋_GB2312" w:hint="eastAsia"/>
          <w:color w:val="000000" w:themeColor="text1"/>
          <w:sz w:val="28"/>
          <w:szCs w:val="28"/>
        </w:rPr>
        <w:t>锡林郭勒盟生态环境局办公室              2025年</w:t>
      </w:r>
      <w:r w:rsidR="00F31FDF">
        <w:rPr>
          <w:rFonts w:ascii="仿宋_GB2312" w:eastAsia="仿宋_GB2312" w:hAnsi="仿宋_GB2312" w:cs="仿宋_GB2312" w:hint="eastAsia"/>
          <w:color w:val="000000" w:themeColor="text1"/>
          <w:sz w:val="28"/>
          <w:szCs w:val="28"/>
        </w:rPr>
        <w:t>9</w:t>
      </w:r>
      <w:r>
        <w:rPr>
          <w:rFonts w:ascii="仿宋_GB2312" w:eastAsia="仿宋_GB2312" w:hAnsi="仿宋_GB2312" w:cs="仿宋_GB2312" w:hint="eastAsia"/>
          <w:color w:val="000000" w:themeColor="text1"/>
          <w:sz w:val="28"/>
          <w:szCs w:val="28"/>
        </w:rPr>
        <w:t>月</w:t>
      </w:r>
      <w:r w:rsidR="00F31FDF">
        <w:rPr>
          <w:rFonts w:ascii="仿宋_GB2312" w:eastAsia="仿宋_GB2312" w:hAnsi="仿宋_GB2312" w:cs="仿宋_GB2312" w:hint="eastAsia"/>
          <w:color w:val="000000" w:themeColor="text1"/>
          <w:sz w:val="28"/>
          <w:szCs w:val="28"/>
        </w:rPr>
        <w:t>25</w:t>
      </w:r>
      <w:r>
        <w:rPr>
          <w:rFonts w:ascii="仿宋_GB2312" w:eastAsia="仿宋_GB2312" w:hAnsi="仿宋_GB2312" w:cs="仿宋_GB2312" w:hint="eastAsia"/>
          <w:color w:val="000000" w:themeColor="text1"/>
          <w:sz w:val="28"/>
          <w:szCs w:val="28"/>
        </w:rPr>
        <w:t>日印发</w:t>
      </w:r>
    </w:p>
    <w:p w14:paraId="6704480C" w14:textId="77777777" w:rsidR="00FB789E" w:rsidRDefault="00FB789E">
      <w:pPr>
        <w:rPr>
          <w:color w:val="000000" w:themeColor="text1"/>
          <w:highlight w:val="yellow"/>
        </w:rPr>
      </w:pPr>
    </w:p>
    <w:sectPr w:rsidR="00FB789E">
      <w:footerReference w:type="default" r:id="rId8"/>
      <w:pgSz w:w="11906" w:h="16838"/>
      <w:pgMar w:top="1797" w:right="1474" w:bottom="1440" w:left="158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115C47" w14:textId="77777777" w:rsidR="00FD4CCB" w:rsidRDefault="00FD4CCB">
      <w:r>
        <w:separator/>
      </w:r>
    </w:p>
  </w:endnote>
  <w:endnote w:type="continuationSeparator" w:id="0">
    <w:p w14:paraId="0CB5A37E" w14:textId="77777777" w:rsidR="00FD4CCB" w:rsidRDefault="00FD4C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楷体_GB2312">
    <w:altName w:val="微软雅黑"/>
    <w:charset w:val="86"/>
    <w:family w:val="auto"/>
    <w:pitch w:val="default"/>
    <w:sig w:usb0="00000000" w:usb1="00000000" w:usb2="00000012"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444D2D" w14:textId="77777777" w:rsidR="00FB789E" w:rsidRDefault="00000000">
    <w:pPr>
      <w:pStyle w:val="aa"/>
    </w:pPr>
    <w:r>
      <w:rPr>
        <w:noProof/>
      </w:rPr>
      <mc:AlternateContent>
        <mc:Choice Requires="wps">
          <w:drawing>
            <wp:anchor distT="0" distB="0" distL="114300" distR="114300" simplePos="0" relativeHeight="251659264" behindDoc="0" locked="0" layoutInCell="1" allowOverlap="1" wp14:anchorId="0FB70BE7" wp14:editId="7C504BD2">
              <wp:simplePos x="0" y="0"/>
              <wp:positionH relativeFrom="margin">
                <wp:align>outside</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F79AC41" w14:textId="77777777" w:rsidR="00FB789E" w:rsidRDefault="00000000">
                          <w:pPr>
                            <w:pStyle w:val="aa"/>
                          </w:pPr>
                          <w:r>
                            <w:rPr>
                              <w:rFonts w:ascii="宋体" w:hAnsi="宋体" w:hint="eastAsia"/>
                              <w:sz w:val="28"/>
                              <w:szCs w:val="28"/>
                            </w:rPr>
                            <w:t xml:space="preserve">— </w:t>
                          </w:r>
                          <w:r>
                            <w:rPr>
                              <w:rFonts w:ascii="宋体" w:hAnsi="宋体" w:hint="eastAsia"/>
                              <w:sz w:val="28"/>
                              <w:szCs w:val="28"/>
                            </w:rPr>
                            <w:fldChar w:fldCharType="begin"/>
                          </w:r>
                          <w:r>
                            <w:rPr>
                              <w:rFonts w:ascii="宋体" w:hAnsi="宋体" w:hint="eastAsia"/>
                              <w:sz w:val="28"/>
                              <w:szCs w:val="28"/>
                            </w:rPr>
                            <w:instrText xml:space="preserve"> PAGE  \* MERGEFORMAT </w:instrText>
                          </w:r>
                          <w:r>
                            <w:rPr>
                              <w:rFonts w:ascii="宋体" w:hAnsi="宋体" w:hint="eastAsia"/>
                              <w:sz w:val="28"/>
                              <w:szCs w:val="28"/>
                            </w:rPr>
                            <w:fldChar w:fldCharType="separate"/>
                          </w:r>
                          <w:r>
                            <w:rPr>
                              <w:rFonts w:ascii="宋体" w:hAnsi="宋体" w:hint="eastAsia"/>
                              <w:sz w:val="28"/>
                              <w:szCs w:val="28"/>
                            </w:rPr>
                            <w:t>1</w:t>
                          </w:r>
                          <w:r>
                            <w:rPr>
                              <w:rFonts w:ascii="宋体" w:hAnsi="宋体" w:hint="eastAsia"/>
                              <w:sz w:val="28"/>
                              <w:szCs w:val="28"/>
                            </w:rPr>
                            <w:fldChar w:fldCharType="end"/>
                          </w:r>
                          <w:r>
                            <w:rPr>
                              <w:rFonts w:ascii="宋体" w:hAnsi="宋体" w:hint="eastAsia"/>
                              <w:sz w:val="28"/>
                              <w:szCs w:val="28"/>
                            </w:rPr>
                            <w:t xml:space="preserve"> </w:t>
                          </w:r>
                          <w:r>
                            <w:rPr>
                              <w:rFonts w:hint="eastAsia"/>
                            </w:rPr>
                            <w:t>—</w:t>
                          </w:r>
                        </w:p>
                      </w:txbxContent>
                    </wps:txbx>
                    <wps:bodyPr wrap="none" lIns="0" tIns="0" rIns="0" bIns="0">
                      <a:spAutoFit/>
                    </wps:bodyPr>
                  </wps:wsp>
                </a:graphicData>
              </a:graphic>
            </wp:anchor>
          </w:drawing>
        </mc:Choice>
        <mc:Fallback>
          <w:pict>
            <v:shapetype w14:anchorId="0FB70BE7" id="_x0000_t202" coordsize="21600,21600" o:spt="202" path="m,l,21600r21600,l21600,xe">
              <v:stroke joinstyle="miter"/>
              <v:path gradientshapeok="t" o:connecttype="rect"/>
            </v:shapetype>
            <v:shape id="文本框 1025"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" filled="f" stroked="f">
              <v:textbox style="mso-fit-shape-to-text:t" inset="0,0,0,0">
                <w:txbxContent>
                  <w:p w14:paraId="2F79AC41" w14:textId="77777777" w:rsidR="00FB789E" w:rsidRDefault="00000000">
                    <w:pPr>
                      <w:pStyle w:val="aa"/>
                    </w:pPr>
                    <w:r>
                      <w:rPr>
                        <w:rFonts w:ascii="宋体" w:hAnsi="宋体" w:hint="eastAsia"/>
                        <w:sz w:val="28"/>
                        <w:szCs w:val="28"/>
                      </w:rPr>
                      <w:t xml:space="preserve">— </w:t>
                    </w:r>
                    <w:r>
                      <w:rPr>
                        <w:rFonts w:ascii="宋体" w:hAnsi="宋体" w:hint="eastAsia"/>
                        <w:sz w:val="28"/>
                        <w:szCs w:val="28"/>
                      </w:rPr>
                      <w:fldChar w:fldCharType="begin"/>
                    </w:r>
                    <w:r>
                      <w:rPr>
                        <w:rFonts w:ascii="宋体" w:hAnsi="宋体" w:hint="eastAsia"/>
                        <w:sz w:val="28"/>
                        <w:szCs w:val="28"/>
                      </w:rPr>
                      <w:instrText xml:space="preserve"> PAGE  \* MERGEFORMAT </w:instrText>
                    </w:r>
                    <w:r>
                      <w:rPr>
                        <w:rFonts w:ascii="宋体" w:hAnsi="宋体" w:hint="eastAsia"/>
                        <w:sz w:val="28"/>
                        <w:szCs w:val="28"/>
                      </w:rPr>
                      <w:fldChar w:fldCharType="separate"/>
                    </w:r>
                    <w:r>
                      <w:rPr>
                        <w:rFonts w:ascii="宋体" w:hAnsi="宋体" w:hint="eastAsia"/>
                        <w:sz w:val="28"/>
                        <w:szCs w:val="28"/>
                      </w:rPr>
                      <w:t>1</w:t>
                    </w:r>
                    <w:r>
                      <w:rPr>
                        <w:rFonts w:ascii="宋体" w:hAnsi="宋体" w:hint="eastAsia"/>
                        <w:sz w:val="28"/>
                        <w:szCs w:val="28"/>
                      </w:rPr>
                      <w:fldChar w:fldCharType="end"/>
                    </w:r>
                    <w:r>
                      <w:rPr>
                        <w:rFonts w:ascii="宋体" w:hAnsi="宋体" w:hint="eastAsia"/>
                        <w:sz w:val="28"/>
                        <w:szCs w:val="28"/>
                      </w:rPr>
                      <w:t xml:space="preserve"> </w:t>
                    </w:r>
                    <w:r>
                      <w:rPr>
                        <w:rFonts w:hint="eastAsia"/>
                      </w:rPr>
                      <w:t>—</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831EE0" w14:textId="77777777" w:rsidR="00FD4CCB" w:rsidRDefault="00FD4CCB">
      <w:r>
        <w:separator/>
      </w:r>
    </w:p>
  </w:footnote>
  <w:footnote w:type="continuationSeparator" w:id="0">
    <w:p w14:paraId="324BAF68" w14:textId="77777777" w:rsidR="00FD4CCB" w:rsidRDefault="00FD4CC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3C61489"/>
    <w:multiLevelType w:val="singleLevel"/>
    <w:tmpl w:val="93C61489"/>
    <w:lvl w:ilvl="0">
      <w:start w:val="1"/>
      <w:numFmt w:val="chineseCounting"/>
      <w:suff w:val="nothing"/>
      <w:lvlText w:val="%1、"/>
      <w:lvlJc w:val="left"/>
      <w:rPr>
        <w:rFonts w:hint="eastAsia"/>
      </w:rPr>
    </w:lvl>
  </w:abstractNum>
  <w:num w:numId="1" w16cid:durableId="18055385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ThmMTZhZmI4OWM5MDA0M2RkYjFmOTg4ODM3NzhkOGUifQ=="/>
  </w:docVars>
  <w:rsids>
    <w:rsidRoot w:val="000D4321"/>
    <w:rsid w:val="DDF62D45"/>
    <w:rsid w:val="E7CCC5E8"/>
    <w:rsid w:val="FD31C36B"/>
    <w:rsid w:val="FDF13414"/>
    <w:rsid w:val="FDF1E32A"/>
    <w:rsid w:val="00014BC3"/>
    <w:rsid w:val="00016461"/>
    <w:rsid w:val="00021373"/>
    <w:rsid w:val="00022C38"/>
    <w:rsid w:val="00023581"/>
    <w:rsid w:val="000404B1"/>
    <w:rsid w:val="00041296"/>
    <w:rsid w:val="00043C77"/>
    <w:rsid w:val="00054BCA"/>
    <w:rsid w:val="000631B7"/>
    <w:rsid w:val="000633A5"/>
    <w:rsid w:val="0007260E"/>
    <w:rsid w:val="00073DCC"/>
    <w:rsid w:val="00077B62"/>
    <w:rsid w:val="00080288"/>
    <w:rsid w:val="000871F8"/>
    <w:rsid w:val="000926CF"/>
    <w:rsid w:val="000A3C9C"/>
    <w:rsid w:val="000B14EB"/>
    <w:rsid w:val="000B2804"/>
    <w:rsid w:val="000B40F1"/>
    <w:rsid w:val="000B4B35"/>
    <w:rsid w:val="000B67E1"/>
    <w:rsid w:val="000C14CA"/>
    <w:rsid w:val="000D4321"/>
    <w:rsid w:val="000E47F3"/>
    <w:rsid w:val="000F1552"/>
    <w:rsid w:val="000F3984"/>
    <w:rsid w:val="0010014D"/>
    <w:rsid w:val="00110B5D"/>
    <w:rsid w:val="00114AB6"/>
    <w:rsid w:val="001154B9"/>
    <w:rsid w:val="001336F3"/>
    <w:rsid w:val="001363F0"/>
    <w:rsid w:val="001377C3"/>
    <w:rsid w:val="00143AAF"/>
    <w:rsid w:val="00144D51"/>
    <w:rsid w:val="00156D20"/>
    <w:rsid w:val="001634C8"/>
    <w:rsid w:val="0016496B"/>
    <w:rsid w:val="001665B1"/>
    <w:rsid w:val="001667CC"/>
    <w:rsid w:val="001730B2"/>
    <w:rsid w:val="00173CF7"/>
    <w:rsid w:val="0017567C"/>
    <w:rsid w:val="001757EE"/>
    <w:rsid w:val="00184A29"/>
    <w:rsid w:val="00185005"/>
    <w:rsid w:val="0018654B"/>
    <w:rsid w:val="00191BBD"/>
    <w:rsid w:val="001934A1"/>
    <w:rsid w:val="00194F2D"/>
    <w:rsid w:val="001A0707"/>
    <w:rsid w:val="001A2789"/>
    <w:rsid w:val="001A289A"/>
    <w:rsid w:val="001A4ABE"/>
    <w:rsid w:val="001B458A"/>
    <w:rsid w:val="001B4F00"/>
    <w:rsid w:val="001C12BB"/>
    <w:rsid w:val="001C5D7D"/>
    <w:rsid w:val="001C6F41"/>
    <w:rsid w:val="001C77A0"/>
    <w:rsid w:val="001D2199"/>
    <w:rsid w:val="001D6824"/>
    <w:rsid w:val="001E28AF"/>
    <w:rsid w:val="001E5C99"/>
    <w:rsid w:val="001F2931"/>
    <w:rsid w:val="001F29E6"/>
    <w:rsid w:val="002029DC"/>
    <w:rsid w:val="00214954"/>
    <w:rsid w:val="00214AC5"/>
    <w:rsid w:val="00220818"/>
    <w:rsid w:val="00227B3B"/>
    <w:rsid w:val="00237A02"/>
    <w:rsid w:val="0025402B"/>
    <w:rsid w:val="0027421B"/>
    <w:rsid w:val="00276377"/>
    <w:rsid w:val="00276B95"/>
    <w:rsid w:val="00281D82"/>
    <w:rsid w:val="00285BBC"/>
    <w:rsid w:val="00286929"/>
    <w:rsid w:val="00287EA9"/>
    <w:rsid w:val="00296307"/>
    <w:rsid w:val="002A2EBD"/>
    <w:rsid w:val="002A57BB"/>
    <w:rsid w:val="002A6BCD"/>
    <w:rsid w:val="002B4290"/>
    <w:rsid w:val="002C14FE"/>
    <w:rsid w:val="002C5C46"/>
    <w:rsid w:val="002D17C7"/>
    <w:rsid w:val="002D7F4F"/>
    <w:rsid w:val="002E32AB"/>
    <w:rsid w:val="00300989"/>
    <w:rsid w:val="0032281E"/>
    <w:rsid w:val="00330B1D"/>
    <w:rsid w:val="00334735"/>
    <w:rsid w:val="00342D05"/>
    <w:rsid w:val="003446F8"/>
    <w:rsid w:val="00362FCD"/>
    <w:rsid w:val="003660F7"/>
    <w:rsid w:val="00366D97"/>
    <w:rsid w:val="00367982"/>
    <w:rsid w:val="00371C87"/>
    <w:rsid w:val="00375DDA"/>
    <w:rsid w:val="00384AA1"/>
    <w:rsid w:val="003A1D52"/>
    <w:rsid w:val="003A2731"/>
    <w:rsid w:val="003B2B89"/>
    <w:rsid w:val="003B3BE0"/>
    <w:rsid w:val="003B3D52"/>
    <w:rsid w:val="003B6966"/>
    <w:rsid w:val="003C6202"/>
    <w:rsid w:val="003D2E10"/>
    <w:rsid w:val="003D6458"/>
    <w:rsid w:val="003E0605"/>
    <w:rsid w:val="003E1170"/>
    <w:rsid w:val="003E14A6"/>
    <w:rsid w:val="003F0AB0"/>
    <w:rsid w:val="00403479"/>
    <w:rsid w:val="0041034D"/>
    <w:rsid w:val="0042123E"/>
    <w:rsid w:val="00422D2F"/>
    <w:rsid w:val="004318E0"/>
    <w:rsid w:val="00432EEF"/>
    <w:rsid w:val="004423C8"/>
    <w:rsid w:val="00443352"/>
    <w:rsid w:val="00445309"/>
    <w:rsid w:val="0046253A"/>
    <w:rsid w:val="004632AB"/>
    <w:rsid w:val="004632DF"/>
    <w:rsid w:val="00484E73"/>
    <w:rsid w:val="00486B14"/>
    <w:rsid w:val="00492E48"/>
    <w:rsid w:val="004A07E5"/>
    <w:rsid w:val="004A41E3"/>
    <w:rsid w:val="004A7F0C"/>
    <w:rsid w:val="004C1ED9"/>
    <w:rsid w:val="004C4042"/>
    <w:rsid w:val="004D4E19"/>
    <w:rsid w:val="004D5A02"/>
    <w:rsid w:val="004E472D"/>
    <w:rsid w:val="004E7138"/>
    <w:rsid w:val="004E7338"/>
    <w:rsid w:val="004F2D64"/>
    <w:rsid w:val="004F4BA0"/>
    <w:rsid w:val="004F69C0"/>
    <w:rsid w:val="004F6EC3"/>
    <w:rsid w:val="005029B0"/>
    <w:rsid w:val="005034F1"/>
    <w:rsid w:val="00504CF3"/>
    <w:rsid w:val="005109E9"/>
    <w:rsid w:val="0052226E"/>
    <w:rsid w:val="00522924"/>
    <w:rsid w:val="005268F5"/>
    <w:rsid w:val="00534AF5"/>
    <w:rsid w:val="005469CA"/>
    <w:rsid w:val="00546F03"/>
    <w:rsid w:val="005532E8"/>
    <w:rsid w:val="0056191F"/>
    <w:rsid w:val="0056715E"/>
    <w:rsid w:val="00567543"/>
    <w:rsid w:val="00577B98"/>
    <w:rsid w:val="00580098"/>
    <w:rsid w:val="00582E33"/>
    <w:rsid w:val="00593A2F"/>
    <w:rsid w:val="00597C54"/>
    <w:rsid w:val="005A0A60"/>
    <w:rsid w:val="005A1AB6"/>
    <w:rsid w:val="005A4C9D"/>
    <w:rsid w:val="005B7987"/>
    <w:rsid w:val="005C0F25"/>
    <w:rsid w:val="005C3D31"/>
    <w:rsid w:val="005C4984"/>
    <w:rsid w:val="005D2DDC"/>
    <w:rsid w:val="005D6003"/>
    <w:rsid w:val="005E51ED"/>
    <w:rsid w:val="005F0A96"/>
    <w:rsid w:val="00604B6E"/>
    <w:rsid w:val="00606272"/>
    <w:rsid w:val="00611D64"/>
    <w:rsid w:val="006135D2"/>
    <w:rsid w:val="00634B70"/>
    <w:rsid w:val="00644078"/>
    <w:rsid w:val="00644E61"/>
    <w:rsid w:val="00646D34"/>
    <w:rsid w:val="0065078A"/>
    <w:rsid w:val="00653229"/>
    <w:rsid w:val="00656DA9"/>
    <w:rsid w:val="00670AFA"/>
    <w:rsid w:val="00671585"/>
    <w:rsid w:val="00671A9A"/>
    <w:rsid w:val="00676B6B"/>
    <w:rsid w:val="006811B1"/>
    <w:rsid w:val="00682B41"/>
    <w:rsid w:val="006839CA"/>
    <w:rsid w:val="006900F5"/>
    <w:rsid w:val="006950FE"/>
    <w:rsid w:val="0069764E"/>
    <w:rsid w:val="006A4514"/>
    <w:rsid w:val="006A57F3"/>
    <w:rsid w:val="006B1F5D"/>
    <w:rsid w:val="006B2F16"/>
    <w:rsid w:val="006B5F68"/>
    <w:rsid w:val="006B76AD"/>
    <w:rsid w:val="006C57F8"/>
    <w:rsid w:val="006D0A7B"/>
    <w:rsid w:val="006D4549"/>
    <w:rsid w:val="006D4A45"/>
    <w:rsid w:val="006E2C8E"/>
    <w:rsid w:val="006E33CF"/>
    <w:rsid w:val="007004F7"/>
    <w:rsid w:val="0071347B"/>
    <w:rsid w:val="007156F8"/>
    <w:rsid w:val="0071639C"/>
    <w:rsid w:val="00717017"/>
    <w:rsid w:val="00726A41"/>
    <w:rsid w:val="00727B90"/>
    <w:rsid w:val="00742658"/>
    <w:rsid w:val="007433F9"/>
    <w:rsid w:val="007442CF"/>
    <w:rsid w:val="00750F31"/>
    <w:rsid w:val="007535CD"/>
    <w:rsid w:val="00784581"/>
    <w:rsid w:val="007866D2"/>
    <w:rsid w:val="007974D1"/>
    <w:rsid w:val="0079798C"/>
    <w:rsid w:val="007A4F19"/>
    <w:rsid w:val="007B5BDE"/>
    <w:rsid w:val="007B69DA"/>
    <w:rsid w:val="007C1F4E"/>
    <w:rsid w:val="007C42BF"/>
    <w:rsid w:val="007D5933"/>
    <w:rsid w:val="007E0BCA"/>
    <w:rsid w:val="007E3B15"/>
    <w:rsid w:val="007E7F58"/>
    <w:rsid w:val="007F0BC8"/>
    <w:rsid w:val="007F4521"/>
    <w:rsid w:val="007F5820"/>
    <w:rsid w:val="007F72CF"/>
    <w:rsid w:val="0080115A"/>
    <w:rsid w:val="008117DD"/>
    <w:rsid w:val="00812867"/>
    <w:rsid w:val="008130E1"/>
    <w:rsid w:val="00813982"/>
    <w:rsid w:val="00821E20"/>
    <w:rsid w:val="00830DD7"/>
    <w:rsid w:val="00835FC6"/>
    <w:rsid w:val="00863B8D"/>
    <w:rsid w:val="00867C91"/>
    <w:rsid w:val="0088219E"/>
    <w:rsid w:val="0088753F"/>
    <w:rsid w:val="008969DB"/>
    <w:rsid w:val="0089787A"/>
    <w:rsid w:val="008A56BA"/>
    <w:rsid w:val="008A6139"/>
    <w:rsid w:val="008A7F5C"/>
    <w:rsid w:val="008B2EBC"/>
    <w:rsid w:val="008C0209"/>
    <w:rsid w:val="008C3318"/>
    <w:rsid w:val="008D20AE"/>
    <w:rsid w:val="008E1087"/>
    <w:rsid w:val="008F1BA9"/>
    <w:rsid w:val="008F2278"/>
    <w:rsid w:val="008F36F2"/>
    <w:rsid w:val="008F5FB6"/>
    <w:rsid w:val="00902DA6"/>
    <w:rsid w:val="009326AF"/>
    <w:rsid w:val="00934945"/>
    <w:rsid w:val="0093665E"/>
    <w:rsid w:val="00940F76"/>
    <w:rsid w:val="009418ED"/>
    <w:rsid w:val="00950CF7"/>
    <w:rsid w:val="00966D48"/>
    <w:rsid w:val="00997150"/>
    <w:rsid w:val="009B5626"/>
    <w:rsid w:val="009B5F15"/>
    <w:rsid w:val="009C5272"/>
    <w:rsid w:val="009D5899"/>
    <w:rsid w:val="009D6EC8"/>
    <w:rsid w:val="009D7C36"/>
    <w:rsid w:val="009E0C6B"/>
    <w:rsid w:val="009E6CBF"/>
    <w:rsid w:val="00A015FA"/>
    <w:rsid w:val="00A157E2"/>
    <w:rsid w:val="00A5275A"/>
    <w:rsid w:val="00A52EA5"/>
    <w:rsid w:val="00A7191B"/>
    <w:rsid w:val="00A87AF4"/>
    <w:rsid w:val="00A9178B"/>
    <w:rsid w:val="00AA2A73"/>
    <w:rsid w:val="00AC0572"/>
    <w:rsid w:val="00AC3326"/>
    <w:rsid w:val="00AC376B"/>
    <w:rsid w:val="00AE6A7F"/>
    <w:rsid w:val="00B010CB"/>
    <w:rsid w:val="00B06CE1"/>
    <w:rsid w:val="00B0760D"/>
    <w:rsid w:val="00B15160"/>
    <w:rsid w:val="00B156ED"/>
    <w:rsid w:val="00B22D00"/>
    <w:rsid w:val="00B23B09"/>
    <w:rsid w:val="00B2434A"/>
    <w:rsid w:val="00B24A8D"/>
    <w:rsid w:val="00B33825"/>
    <w:rsid w:val="00B355E0"/>
    <w:rsid w:val="00B52F4A"/>
    <w:rsid w:val="00B538B3"/>
    <w:rsid w:val="00B73217"/>
    <w:rsid w:val="00BA1B3F"/>
    <w:rsid w:val="00BB1904"/>
    <w:rsid w:val="00BB5C79"/>
    <w:rsid w:val="00BB7FE0"/>
    <w:rsid w:val="00BC1783"/>
    <w:rsid w:val="00BC1D69"/>
    <w:rsid w:val="00BD64A2"/>
    <w:rsid w:val="00BE1005"/>
    <w:rsid w:val="00BE3E03"/>
    <w:rsid w:val="00BE7A30"/>
    <w:rsid w:val="00BF1DE6"/>
    <w:rsid w:val="00BF3747"/>
    <w:rsid w:val="00C04751"/>
    <w:rsid w:val="00C21916"/>
    <w:rsid w:val="00C26671"/>
    <w:rsid w:val="00C3336A"/>
    <w:rsid w:val="00C37629"/>
    <w:rsid w:val="00C40053"/>
    <w:rsid w:val="00C41D44"/>
    <w:rsid w:val="00C42A83"/>
    <w:rsid w:val="00C4487F"/>
    <w:rsid w:val="00C46695"/>
    <w:rsid w:val="00C527AB"/>
    <w:rsid w:val="00C76DFB"/>
    <w:rsid w:val="00C80BCB"/>
    <w:rsid w:val="00C8132F"/>
    <w:rsid w:val="00C81F36"/>
    <w:rsid w:val="00C8208A"/>
    <w:rsid w:val="00C85788"/>
    <w:rsid w:val="00C86952"/>
    <w:rsid w:val="00C92F1D"/>
    <w:rsid w:val="00C93713"/>
    <w:rsid w:val="00CA0FC7"/>
    <w:rsid w:val="00CA2CDC"/>
    <w:rsid w:val="00CB0316"/>
    <w:rsid w:val="00CB1082"/>
    <w:rsid w:val="00CB2D7E"/>
    <w:rsid w:val="00CB6B94"/>
    <w:rsid w:val="00CD5C70"/>
    <w:rsid w:val="00CE339C"/>
    <w:rsid w:val="00CE663F"/>
    <w:rsid w:val="00CE7AF1"/>
    <w:rsid w:val="00CF00DB"/>
    <w:rsid w:val="00CF4F73"/>
    <w:rsid w:val="00CF5069"/>
    <w:rsid w:val="00CF6FAA"/>
    <w:rsid w:val="00CF7A5B"/>
    <w:rsid w:val="00D13836"/>
    <w:rsid w:val="00D14B11"/>
    <w:rsid w:val="00D2319A"/>
    <w:rsid w:val="00D37430"/>
    <w:rsid w:val="00D41852"/>
    <w:rsid w:val="00D42C31"/>
    <w:rsid w:val="00D45D58"/>
    <w:rsid w:val="00D567CC"/>
    <w:rsid w:val="00D609DD"/>
    <w:rsid w:val="00D66DA5"/>
    <w:rsid w:val="00D75851"/>
    <w:rsid w:val="00D83A20"/>
    <w:rsid w:val="00D876B4"/>
    <w:rsid w:val="00D87E3D"/>
    <w:rsid w:val="00D9066F"/>
    <w:rsid w:val="00D94332"/>
    <w:rsid w:val="00DA1DEC"/>
    <w:rsid w:val="00DB1081"/>
    <w:rsid w:val="00DB4999"/>
    <w:rsid w:val="00DC134C"/>
    <w:rsid w:val="00DC405B"/>
    <w:rsid w:val="00DD4E2E"/>
    <w:rsid w:val="00DE0D31"/>
    <w:rsid w:val="00DE566A"/>
    <w:rsid w:val="00DE781A"/>
    <w:rsid w:val="00DF38C0"/>
    <w:rsid w:val="00E0034C"/>
    <w:rsid w:val="00E01028"/>
    <w:rsid w:val="00E0200B"/>
    <w:rsid w:val="00E025F9"/>
    <w:rsid w:val="00E0355B"/>
    <w:rsid w:val="00E1047E"/>
    <w:rsid w:val="00E13283"/>
    <w:rsid w:val="00E317F8"/>
    <w:rsid w:val="00E47F17"/>
    <w:rsid w:val="00E56A9E"/>
    <w:rsid w:val="00E659E6"/>
    <w:rsid w:val="00E67084"/>
    <w:rsid w:val="00E6721D"/>
    <w:rsid w:val="00E67FE7"/>
    <w:rsid w:val="00E755C9"/>
    <w:rsid w:val="00E83567"/>
    <w:rsid w:val="00EA7C69"/>
    <w:rsid w:val="00EF2458"/>
    <w:rsid w:val="00EF41F6"/>
    <w:rsid w:val="00F00533"/>
    <w:rsid w:val="00F121F3"/>
    <w:rsid w:val="00F266D0"/>
    <w:rsid w:val="00F3098B"/>
    <w:rsid w:val="00F316FE"/>
    <w:rsid w:val="00F31FDF"/>
    <w:rsid w:val="00F33A4C"/>
    <w:rsid w:val="00F34565"/>
    <w:rsid w:val="00F37167"/>
    <w:rsid w:val="00F37666"/>
    <w:rsid w:val="00F378D2"/>
    <w:rsid w:val="00F418DD"/>
    <w:rsid w:val="00F448FE"/>
    <w:rsid w:val="00F66013"/>
    <w:rsid w:val="00F73DFB"/>
    <w:rsid w:val="00F77CBE"/>
    <w:rsid w:val="00F86A9C"/>
    <w:rsid w:val="00F97C19"/>
    <w:rsid w:val="00FA0658"/>
    <w:rsid w:val="00FA55CB"/>
    <w:rsid w:val="00FB0224"/>
    <w:rsid w:val="00FB3C98"/>
    <w:rsid w:val="00FB51B0"/>
    <w:rsid w:val="00FB579B"/>
    <w:rsid w:val="00FB789E"/>
    <w:rsid w:val="00FC227D"/>
    <w:rsid w:val="00FC2586"/>
    <w:rsid w:val="00FD4CCB"/>
    <w:rsid w:val="00FE375A"/>
    <w:rsid w:val="00FE4A36"/>
    <w:rsid w:val="00FE68B9"/>
    <w:rsid w:val="00FE74C6"/>
    <w:rsid w:val="00FF0FED"/>
    <w:rsid w:val="00FF2EEE"/>
    <w:rsid w:val="00FF3049"/>
    <w:rsid w:val="02574437"/>
    <w:rsid w:val="0261070A"/>
    <w:rsid w:val="02A52E21"/>
    <w:rsid w:val="02B803C4"/>
    <w:rsid w:val="02E304A8"/>
    <w:rsid w:val="047F2D99"/>
    <w:rsid w:val="04D951F3"/>
    <w:rsid w:val="0539563E"/>
    <w:rsid w:val="05C67737"/>
    <w:rsid w:val="05E553C1"/>
    <w:rsid w:val="05FD2CFC"/>
    <w:rsid w:val="06357215"/>
    <w:rsid w:val="066A7A79"/>
    <w:rsid w:val="06C63381"/>
    <w:rsid w:val="06FC00CD"/>
    <w:rsid w:val="071B63D4"/>
    <w:rsid w:val="07AD4748"/>
    <w:rsid w:val="07E57854"/>
    <w:rsid w:val="08046A98"/>
    <w:rsid w:val="09275DBC"/>
    <w:rsid w:val="095F1029"/>
    <w:rsid w:val="0AB73FAD"/>
    <w:rsid w:val="0B036D01"/>
    <w:rsid w:val="0C0F7FC0"/>
    <w:rsid w:val="0C615B69"/>
    <w:rsid w:val="0C7B2438"/>
    <w:rsid w:val="0D600B04"/>
    <w:rsid w:val="0D867B6A"/>
    <w:rsid w:val="0DDE33AA"/>
    <w:rsid w:val="0FC402FB"/>
    <w:rsid w:val="0FD0094D"/>
    <w:rsid w:val="106D1C1C"/>
    <w:rsid w:val="1096539B"/>
    <w:rsid w:val="118A612A"/>
    <w:rsid w:val="11DF3FB1"/>
    <w:rsid w:val="12E11047"/>
    <w:rsid w:val="12FE1C75"/>
    <w:rsid w:val="13233A01"/>
    <w:rsid w:val="13F14EFC"/>
    <w:rsid w:val="140313E6"/>
    <w:rsid w:val="15546A64"/>
    <w:rsid w:val="157C1640"/>
    <w:rsid w:val="15F018F0"/>
    <w:rsid w:val="1638748C"/>
    <w:rsid w:val="16921052"/>
    <w:rsid w:val="17C84CD0"/>
    <w:rsid w:val="188734A9"/>
    <w:rsid w:val="18BB27B3"/>
    <w:rsid w:val="194434A3"/>
    <w:rsid w:val="19AA453E"/>
    <w:rsid w:val="1A414E61"/>
    <w:rsid w:val="1A7F14FD"/>
    <w:rsid w:val="1A8A0DBC"/>
    <w:rsid w:val="1AA76660"/>
    <w:rsid w:val="1AB479EF"/>
    <w:rsid w:val="1AFC6A9A"/>
    <w:rsid w:val="1B2364DA"/>
    <w:rsid w:val="1C2F4B20"/>
    <w:rsid w:val="1DAF4CAA"/>
    <w:rsid w:val="1EEC428A"/>
    <w:rsid w:val="1FC243FE"/>
    <w:rsid w:val="20395ABC"/>
    <w:rsid w:val="20A0755B"/>
    <w:rsid w:val="212654F5"/>
    <w:rsid w:val="218131F2"/>
    <w:rsid w:val="218C7702"/>
    <w:rsid w:val="21AB217C"/>
    <w:rsid w:val="224D229D"/>
    <w:rsid w:val="22DB6B4B"/>
    <w:rsid w:val="233819BD"/>
    <w:rsid w:val="2343067D"/>
    <w:rsid w:val="23B01456"/>
    <w:rsid w:val="23D16350"/>
    <w:rsid w:val="23F20DD7"/>
    <w:rsid w:val="24057F52"/>
    <w:rsid w:val="249B1764"/>
    <w:rsid w:val="249F7400"/>
    <w:rsid w:val="24AC6D05"/>
    <w:rsid w:val="24CA3A31"/>
    <w:rsid w:val="256E7192"/>
    <w:rsid w:val="265931E9"/>
    <w:rsid w:val="268531BC"/>
    <w:rsid w:val="26BA0FDF"/>
    <w:rsid w:val="26C2348B"/>
    <w:rsid w:val="273E51BC"/>
    <w:rsid w:val="28145B8A"/>
    <w:rsid w:val="28B20752"/>
    <w:rsid w:val="29C93080"/>
    <w:rsid w:val="2AC71C98"/>
    <w:rsid w:val="2B650141"/>
    <w:rsid w:val="2C174586"/>
    <w:rsid w:val="2C8D1578"/>
    <w:rsid w:val="2D333A02"/>
    <w:rsid w:val="2D991BCC"/>
    <w:rsid w:val="2DE40F97"/>
    <w:rsid w:val="2E184CD7"/>
    <w:rsid w:val="2E2E47A7"/>
    <w:rsid w:val="2E5020EA"/>
    <w:rsid w:val="2E521A0E"/>
    <w:rsid w:val="2F2B4C3B"/>
    <w:rsid w:val="31823AAD"/>
    <w:rsid w:val="320A35E8"/>
    <w:rsid w:val="333E0542"/>
    <w:rsid w:val="33583017"/>
    <w:rsid w:val="343B2199"/>
    <w:rsid w:val="344E40EC"/>
    <w:rsid w:val="34E56F46"/>
    <w:rsid w:val="352544E3"/>
    <w:rsid w:val="35963618"/>
    <w:rsid w:val="35AD5F9C"/>
    <w:rsid w:val="35C65EF2"/>
    <w:rsid w:val="36221A32"/>
    <w:rsid w:val="363148B7"/>
    <w:rsid w:val="364A359E"/>
    <w:rsid w:val="36586D70"/>
    <w:rsid w:val="36C6408A"/>
    <w:rsid w:val="36CB1E24"/>
    <w:rsid w:val="36F36D43"/>
    <w:rsid w:val="37594320"/>
    <w:rsid w:val="376D7913"/>
    <w:rsid w:val="37E334B0"/>
    <w:rsid w:val="37EC3586"/>
    <w:rsid w:val="38095AD2"/>
    <w:rsid w:val="38460570"/>
    <w:rsid w:val="38FB7845"/>
    <w:rsid w:val="39192536"/>
    <w:rsid w:val="39B74241"/>
    <w:rsid w:val="39D8201A"/>
    <w:rsid w:val="3A184B1B"/>
    <w:rsid w:val="3A492E02"/>
    <w:rsid w:val="3AAD6655"/>
    <w:rsid w:val="3B9C1015"/>
    <w:rsid w:val="3BEF5219"/>
    <w:rsid w:val="3C286AAB"/>
    <w:rsid w:val="3C793F97"/>
    <w:rsid w:val="3CBF305F"/>
    <w:rsid w:val="3DBF72D5"/>
    <w:rsid w:val="3EBB70C3"/>
    <w:rsid w:val="3EF24F90"/>
    <w:rsid w:val="3EF94F1B"/>
    <w:rsid w:val="3FB90397"/>
    <w:rsid w:val="3FE53639"/>
    <w:rsid w:val="40461C32"/>
    <w:rsid w:val="40806A89"/>
    <w:rsid w:val="416C40CA"/>
    <w:rsid w:val="41775519"/>
    <w:rsid w:val="41966D58"/>
    <w:rsid w:val="41EE10B2"/>
    <w:rsid w:val="42475D9C"/>
    <w:rsid w:val="43602169"/>
    <w:rsid w:val="43CE7657"/>
    <w:rsid w:val="4436078D"/>
    <w:rsid w:val="448E0C92"/>
    <w:rsid w:val="45052318"/>
    <w:rsid w:val="45211CDC"/>
    <w:rsid w:val="45640B33"/>
    <w:rsid w:val="4588450D"/>
    <w:rsid w:val="458F5F23"/>
    <w:rsid w:val="46A20182"/>
    <w:rsid w:val="47550707"/>
    <w:rsid w:val="479B1591"/>
    <w:rsid w:val="47AD5A7D"/>
    <w:rsid w:val="47D22A11"/>
    <w:rsid w:val="47F73B80"/>
    <w:rsid w:val="485C47CD"/>
    <w:rsid w:val="4870423F"/>
    <w:rsid w:val="4A497D71"/>
    <w:rsid w:val="4ACB2548"/>
    <w:rsid w:val="4AFC7B45"/>
    <w:rsid w:val="4BB73257"/>
    <w:rsid w:val="4CA30439"/>
    <w:rsid w:val="4D3A3410"/>
    <w:rsid w:val="4D412400"/>
    <w:rsid w:val="4D7C0E85"/>
    <w:rsid w:val="4DFF9793"/>
    <w:rsid w:val="4E1965B7"/>
    <w:rsid w:val="4E4543FA"/>
    <w:rsid w:val="4EB96AF6"/>
    <w:rsid w:val="4EC33E78"/>
    <w:rsid w:val="4FC72E9A"/>
    <w:rsid w:val="50064C25"/>
    <w:rsid w:val="505277A6"/>
    <w:rsid w:val="50917AF2"/>
    <w:rsid w:val="50D02E2C"/>
    <w:rsid w:val="512E0203"/>
    <w:rsid w:val="51FC6285"/>
    <w:rsid w:val="51FD7DD3"/>
    <w:rsid w:val="524F5238"/>
    <w:rsid w:val="5260080F"/>
    <w:rsid w:val="52636B53"/>
    <w:rsid w:val="52872FB9"/>
    <w:rsid w:val="53621657"/>
    <w:rsid w:val="53686628"/>
    <w:rsid w:val="53825448"/>
    <w:rsid w:val="540734E4"/>
    <w:rsid w:val="54F660D4"/>
    <w:rsid w:val="56242FFC"/>
    <w:rsid w:val="56B91A79"/>
    <w:rsid w:val="5784304E"/>
    <w:rsid w:val="57ED02D4"/>
    <w:rsid w:val="58254B7B"/>
    <w:rsid w:val="584C1E00"/>
    <w:rsid w:val="58B646E4"/>
    <w:rsid w:val="58D16C77"/>
    <w:rsid w:val="58D678B9"/>
    <w:rsid w:val="59094AB3"/>
    <w:rsid w:val="59315255"/>
    <w:rsid w:val="597C6CF2"/>
    <w:rsid w:val="59E66B56"/>
    <w:rsid w:val="5A236E08"/>
    <w:rsid w:val="5A6A6B22"/>
    <w:rsid w:val="5A6C6CDA"/>
    <w:rsid w:val="5A7140A7"/>
    <w:rsid w:val="5B7D67F9"/>
    <w:rsid w:val="5BAD13BD"/>
    <w:rsid w:val="5C2B7AAE"/>
    <w:rsid w:val="5CFE6AC8"/>
    <w:rsid w:val="5D0B7425"/>
    <w:rsid w:val="5DAD56ED"/>
    <w:rsid w:val="5DB630C9"/>
    <w:rsid w:val="5E593199"/>
    <w:rsid w:val="5EA11465"/>
    <w:rsid w:val="5ECF4E53"/>
    <w:rsid w:val="60C87082"/>
    <w:rsid w:val="60E946AD"/>
    <w:rsid w:val="6171498D"/>
    <w:rsid w:val="61F62577"/>
    <w:rsid w:val="626562A0"/>
    <w:rsid w:val="633217D3"/>
    <w:rsid w:val="63702D3A"/>
    <w:rsid w:val="641048FC"/>
    <w:rsid w:val="64590D91"/>
    <w:rsid w:val="64BE1E53"/>
    <w:rsid w:val="64C319A4"/>
    <w:rsid w:val="64E42046"/>
    <w:rsid w:val="64FF480A"/>
    <w:rsid w:val="650B422E"/>
    <w:rsid w:val="65940D04"/>
    <w:rsid w:val="65EA2FE6"/>
    <w:rsid w:val="665B32C7"/>
    <w:rsid w:val="669453CF"/>
    <w:rsid w:val="66C96C5B"/>
    <w:rsid w:val="66F06528"/>
    <w:rsid w:val="66FF0736"/>
    <w:rsid w:val="67B82324"/>
    <w:rsid w:val="67E36D26"/>
    <w:rsid w:val="68355229"/>
    <w:rsid w:val="6874002B"/>
    <w:rsid w:val="68FB11A8"/>
    <w:rsid w:val="69565B6F"/>
    <w:rsid w:val="695758E4"/>
    <w:rsid w:val="696E342C"/>
    <w:rsid w:val="698A0A0B"/>
    <w:rsid w:val="6A757101"/>
    <w:rsid w:val="6B3C0EC2"/>
    <w:rsid w:val="6B936CC9"/>
    <w:rsid w:val="6BDF372D"/>
    <w:rsid w:val="6C9C4126"/>
    <w:rsid w:val="6CD9327B"/>
    <w:rsid w:val="6D854964"/>
    <w:rsid w:val="6D9D0D51"/>
    <w:rsid w:val="6EF62017"/>
    <w:rsid w:val="6F135617"/>
    <w:rsid w:val="6F535D16"/>
    <w:rsid w:val="70237A97"/>
    <w:rsid w:val="71062E7F"/>
    <w:rsid w:val="7113427D"/>
    <w:rsid w:val="7195F3F1"/>
    <w:rsid w:val="72BD7B88"/>
    <w:rsid w:val="72E77C78"/>
    <w:rsid w:val="73406576"/>
    <w:rsid w:val="73C4160D"/>
    <w:rsid w:val="73FB4083"/>
    <w:rsid w:val="74311B75"/>
    <w:rsid w:val="74490FAD"/>
    <w:rsid w:val="74A415CC"/>
    <w:rsid w:val="7577125B"/>
    <w:rsid w:val="759F3762"/>
    <w:rsid w:val="777F3B51"/>
    <w:rsid w:val="77F33180"/>
    <w:rsid w:val="783241B1"/>
    <w:rsid w:val="784C4A8F"/>
    <w:rsid w:val="78535FF9"/>
    <w:rsid w:val="78C05BA3"/>
    <w:rsid w:val="79A73D96"/>
    <w:rsid w:val="7AE9747C"/>
    <w:rsid w:val="7B7D3A38"/>
    <w:rsid w:val="7B803C92"/>
    <w:rsid w:val="7BF02034"/>
    <w:rsid w:val="7CFB171F"/>
    <w:rsid w:val="7E1075B0"/>
    <w:rsid w:val="7E12129D"/>
    <w:rsid w:val="7E611CEE"/>
    <w:rsid w:val="7EC42148"/>
    <w:rsid w:val="7EE90D8C"/>
    <w:rsid w:val="7EF05A8C"/>
    <w:rsid w:val="7F535E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7B54ED6A"/>
  <w15:docId w15:val="{239CC689-0634-4FF8-AD9A-553965B6D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Indent" w:uiPriority="99" w:qFormat="1"/>
    <w:lsdException w:name="Subtitle" w:qFormat="1"/>
    <w:lsdException w:name="Body Text First Indent 2" w:qFormat="1"/>
    <w:lsdException w:name="Body Text Indent 2"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next w:val="CharCharCharCharCharCharCharCharChar1Char"/>
    <w:link w:val="a4"/>
    <w:qFormat/>
    <w:pPr>
      <w:ind w:firstLineChars="200" w:firstLine="420"/>
    </w:pPr>
  </w:style>
  <w:style w:type="paragraph" w:customStyle="1" w:styleId="CharCharCharCharCharCharCharCharChar1Char">
    <w:name w:val="Char Char Char Char Char Char Char Char Char1 Char"/>
    <w:basedOn w:val="a"/>
    <w:next w:val="BodyTextFirstIndent1"/>
    <w:qFormat/>
    <w:pPr>
      <w:spacing w:line="360" w:lineRule="auto"/>
      <w:ind w:firstLineChars="200" w:firstLine="200"/>
    </w:pPr>
    <w:rPr>
      <w:rFonts w:hAnsi="宋体" w:cs="宋体"/>
      <w:sz w:val="24"/>
    </w:rPr>
  </w:style>
  <w:style w:type="paragraph" w:customStyle="1" w:styleId="BodyTextFirstIndent1">
    <w:name w:val="Body Text First Indent1"/>
    <w:next w:val="a"/>
    <w:qFormat/>
    <w:pPr>
      <w:widowControl w:val="0"/>
      <w:spacing w:after="120"/>
      <w:ind w:firstLine="420"/>
      <w:jc w:val="both"/>
    </w:pPr>
    <w:rPr>
      <w:sz w:val="21"/>
      <w:szCs w:val="22"/>
    </w:rPr>
  </w:style>
  <w:style w:type="paragraph" w:styleId="a5">
    <w:name w:val="Body Text Indent"/>
    <w:basedOn w:val="a"/>
    <w:next w:val="a"/>
    <w:link w:val="a6"/>
    <w:uiPriority w:val="99"/>
    <w:qFormat/>
    <w:pPr>
      <w:spacing w:after="120"/>
      <w:ind w:leftChars="200" w:left="420"/>
    </w:pPr>
  </w:style>
  <w:style w:type="paragraph" w:styleId="a7">
    <w:name w:val="Plain Text"/>
    <w:basedOn w:val="a"/>
    <w:link w:val="a8"/>
    <w:qFormat/>
    <w:rPr>
      <w:rFonts w:ascii="宋体" w:hAnsi="Courier New" w:cs="Courier New"/>
      <w:szCs w:val="21"/>
    </w:rPr>
  </w:style>
  <w:style w:type="paragraph" w:styleId="2">
    <w:name w:val="Body Text Indent 2"/>
    <w:basedOn w:val="a"/>
    <w:next w:val="a"/>
    <w:qFormat/>
    <w:pPr>
      <w:spacing w:line="360" w:lineRule="auto"/>
      <w:ind w:firstLine="570"/>
    </w:pPr>
    <w:rPr>
      <w:kern w:val="0"/>
      <w:sz w:val="24"/>
      <w:lang w:eastAsia="en-US"/>
    </w:rPr>
  </w:style>
  <w:style w:type="paragraph" w:styleId="a9">
    <w:name w:val="Balloon Text"/>
    <w:basedOn w:val="a"/>
    <w:semiHidden/>
    <w:qFormat/>
    <w:rPr>
      <w:sz w:val="18"/>
      <w:szCs w:val="18"/>
    </w:rPr>
  </w:style>
  <w:style w:type="paragraph" w:styleId="aa">
    <w:name w:val="footer"/>
    <w:basedOn w:val="a"/>
    <w:qFormat/>
    <w:pPr>
      <w:tabs>
        <w:tab w:val="center" w:pos="4153"/>
        <w:tab w:val="right" w:pos="8306"/>
      </w:tabs>
      <w:snapToGrid w:val="0"/>
      <w:jc w:val="left"/>
    </w:pPr>
    <w:rPr>
      <w:sz w:val="18"/>
    </w:rPr>
  </w:style>
  <w:style w:type="paragraph" w:styleId="ab">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20">
    <w:name w:val="Body Text First Indent 2"/>
    <w:basedOn w:val="a"/>
    <w:next w:val="a"/>
    <w:qFormat/>
    <w:pPr>
      <w:ind w:firstLineChars="200" w:firstLine="420"/>
    </w:pPr>
    <w:rPr>
      <w:rFonts w:hint="eastAsia"/>
    </w:rPr>
  </w:style>
  <w:style w:type="table" w:styleId="ac">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a"/>
    <w:qFormat/>
    <w:pPr>
      <w:widowControl/>
      <w:spacing w:after="160" w:line="240" w:lineRule="exact"/>
      <w:jc w:val="left"/>
    </w:pPr>
  </w:style>
  <w:style w:type="character" w:customStyle="1" w:styleId="a8">
    <w:name w:val="纯文本 字符"/>
    <w:link w:val="a7"/>
    <w:qFormat/>
    <w:rPr>
      <w:rFonts w:ascii="宋体" w:eastAsia="宋体" w:hAnsi="Courier New" w:cs="Courier New"/>
      <w:kern w:val="2"/>
      <w:sz w:val="21"/>
      <w:szCs w:val="21"/>
      <w:lang w:val="en-US" w:eastAsia="zh-CN" w:bidi="ar-SA"/>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Char4">
    <w:name w:val="Char4"/>
    <w:basedOn w:val="a"/>
    <w:qFormat/>
    <w:rPr>
      <w:color w:val="000000"/>
      <w:u w:color="000000"/>
    </w:rPr>
  </w:style>
  <w:style w:type="character" w:customStyle="1" w:styleId="a6">
    <w:name w:val="正文文本缩进 字符"/>
    <w:basedOn w:val="a0"/>
    <w:link w:val="a5"/>
    <w:uiPriority w:val="99"/>
    <w:qFormat/>
    <w:rPr>
      <w:kern w:val="2"/>
      <w:sz w:val="21"/>
      <w:szCs w:val="24"/>
    </w:rPr>
  </w:style>
  <w:style w:type="character" w:customStyle="1" w:styleId="a4">
    <w:name w:val="正文缩进 字符"/>
    <w:link w:val="a3"/>
    <w:autoRedefine/>
    <w:qFormat/>
    <w:rPr>
      <w:kern w:val="2"/>
      <w:sz w:val="21"/>
      <w:szCs w:val="24"/>
    </w:rPr>
  </w:style>
  <w:style w:type="paragraph" w:customStyle="1" w:styleId="1">
    <w:name w:val="样式1"/>
    <w:basedOn w:val="a"/>
    <w:qFormat/>
    <w:pPr>
      <w:widowControl/>
      <w:kinsoku w:val="0"/>
      <w:adjustRightInd w:val="0"/>
      <w:snapToGrid w:val="0"/>
      <w:spacing w:line="360" w:lineRule="auto"/>
      <w:ind w:firstLineChars="200" w:firstLine="1440"/>
      <w:jc w:val="left"/>
      <w:textAlignment w:val="baseline"/>
    </w:pPr>
    <w:rPr>
      <w:rFonts w:ascii="Times New Roman" w:hAnsi="Times New Roman" w:hint="eastAsia"/>
      <w:snapToGrid w:val="0"/>
      <w:kern w:val="0"/>
      <w:sz w:val="24"/>
    </w:rPr>
  </w:style>
  <w:style w:type="character" w:customStyle="1" w:styleId="ca-1">
    <w:name w:val="ca-1"/>
    <w:basedOn w:val="a0"/>
    <w:qFormat/>
  </w:style>
  <w:style w:type="paragraph" w:customStyle="1" w:styleId="10">
    <w:name w:val="1.评估正文"/>
    <w:basedOn w:val="a"/>
    <w:qFormat/>
    <w:pPr>
      <w:adjustRightInd w:val="0"/>
      <w:snapToGrid w:val="0"/>
      <w:spacing w:line="360" w:lineRule="auto"/>
      <w:ind w:firstLineChars="200" w:firstLine="5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429</Words>
  <Characters>2446</Characters>
  <Application>Microsoft Office Word</Application>
  <DocSecurity>0</DocSecurity>
  <Lines>20</Lines>
  <Paragraphs>5</Paragraphs>
  <ScaleCrop>false</ScaleCrop>
  <Company>芳向电脑工作室</Company>
  <LinksUpToDate>false</LinksUpToDate>
  <CharactersWithSpaces>2870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太环审  ﹝201 ﹞ 号</dc:title>
  <dc:creator>lenovo</dc:creator>
  <cp:lastModifiedBy>红岩 张</cp:lastModifiedBy>
  <cp:revision>460</cp:revision>
  <cp:lastPrinted>2025-01-10T07:41:00Z</cp:lastPrinted>
  <dcterms:created xsi:type="dcterms:W3CDTF">2023-05-06T07:59:00Z</dcterms:created>
  <dcterms:modified xsi:type="dcterms:W3CDTF">2025-09-25T00:50:00Z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4689285B43E24AFD814995F19B4C7688_13</vt:lpwstr>
  </property>
  <property fmtid="{D5CDD505-2E9C-101B-9397-08002B2CF9AE}" pid="4" name="KSOTemplateDocerSaveRecord">
    <vt:lpwstr>eyJoZGlkIjoiNzk1MmQ2NjIwZDhjNDVmYjljMWNhMzllNTNhMjI4NjMiLCJ1c2VySWQiOiI0MjM0MTYzMDYifQ==</vt:lpwstr>
  </property>
</Properties>
</file>